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027d3b7974b15" /></Relationships>
</file>

<file path=word/document.xml><?xml version="1.0" encoding="utf-8"?>
<w:document xmlns:w="http://schemas.openxmlformats.org/wordprocessingml/2006/main">
  <w:body>
    <w:p>
      <w:r>
        <w:rPr>
          <w:b/>
        </w:rPr>
        <w:r>
          <w:rPr/>
          <w:t xml:space="preserve">2012-S</w:t>
        </w:r>
      </w:r>
      <w:r>
        <w:rPr>
          <w:b/>
        </w:rPr>
        <w:t xml:space="preserve"> </w:t>
        <w:t xml:space="preserve">AMH</w:t>
      </w:r>
      <w:r>
        <w:rPr>
          <w:b/>
        </w:rPr>
        <w:t xml:space="preserve"> </w:t>
        <w:r>
          <w:rPr/>
          <w:t xml:space="preserve">CLIB</w:t>
        </w:r>
      </w:r>
      <w:r>
        <w:rPr>
          <w:b/>
        </w:rPr>
        <w:t xml:space="preserve"> </w:t>
        <w:r>
          <w:rPr/>
          <w:t xml:space="preserve">H2830.4</w:t>
        </w:r>
      </w:r>
      <w:r>
        <w:rPr>
          <w:b/>
        </w:rPr>
        <w:t xml:space="preserve"> - NOT FOR FLOOR USE</w:t>
      </w:r>
    </w:p>
    <w:p>
      <w:pPr>
        <w:ind w:left="0" w:right="0" w:firstLine="576"/>
      </w:pPr>
    </w:p>
    <w:p>
      <w:pPr>
        <w:spacing w:before="480" w:after="0" w:line="408" w:lineRule="exact"/>
      </w:pPr>
      <w:r>
        <w:rPr>
          <w:b/>
          <w:u w:val="single"/>
        </w:rPr>
        <w:t xml:space="preserve">SHB 2012</w:t>
      </w:r>
      <w:r>
        <w:t xml:space="preserve"> -</w:t>
      </w:r>
      <w:r>
        <w:t xml:space="preserve"> </w:t>
        <w:t xml:space="preserve">H AMD</w:t>
      </w:r>
      <w:r>
        <w:t xml:space="preserve"> </w:t>
      </w:r>
      <w:r>
        <w:rPr>
          <w:b/>
        </w:rPr>
        <w:t xml:space="preserve">562</w:t>
      </w:r>
    </w:p>
    <w:p>
      <w:pPr>
        <w:ind w:left="0" w:right="0" w:firstLine="360"/>
        <w:jc w:val="both"/>
      </w:pPr>
      <w:r>
        <w:rPr/>
        <w:t xml:space="preserve">By Representative Clibborn</w:t>
      </w:r>
    </w:p>
    <w:p>
      <w:pPr>
        <w:jc w:val="right"/>
      </w:pPr>
      <w:r>
        <w:rPr>
          <w:b/>
        </w:rPr>
        <w:t xml:space="preserve">ADOPTED 6/29/2015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(1)(a) For projects identified as connecting Washington projects and supported by revenues under chapter . . . (Engrossed Substitute Senate Bill No. 5987), Laws of 2015 3rd sp. sess., it is the priority of the legislature that the department deliver the named projects. The legislature encourages the department to continue to institutionalize innovation and collaboration in design and project delivery with an eye toward the most efficient use of resources. In doing so, the legislature expects that, for some projects, costs will be reduced during the project design phase due to the application of practical design. However, significant changes to a project title or scope arising from the application of practical design requires legislative approval. The legislature will utilize existing mechanisms and processes to ensure timely and efficient approval. Practical design-related changes to the scope may be proposed by the department, for the legislature's approval, only if the project's intended performance is substantially unchanged and the local governments and interested stakeholders impacted by the project have been consulted and have reviewed the proposed changes.</w:t>
      </w:r>
    </w:p>
    <w:p>
      <w:pPr>
        <w:ind w:left="0" w:right="0" w:firstLine="360"/>
        <w:jc w:val="both"/>
      </w:pPr>
      <w:r>
        <w:rPr/>
        <w:t xml:space="preserve">(b) To the greatest extent practicable, a contract for the construction of a project with any change to the title or scope, whether significant or not, arising from the application of practical design must not be let until the department has provided a detailed notice describing the change to the chairs and ranking members of the house of representatives and senate transportation committees or, if during the interim, to the joint transportation committee.</w:t>
      </w:r>
    </w:p>
    <w:p>
      <w:pPr>
        <w:ind w:left="0" w:right="0" w:firstLine="360"/>
        <w:jc w:val="both"/>
      </w:pPr>
      <w:r>
        <w:rPr/>
        <w:t xml:space="preserve">(c) To determine the savings attributable to practical design, each connecting Washington project must be evaluated. For design-bid-build projects, the evaluation must occur at the end of the project design phase. For design-build projects, the evaluation must occur at the completion of thirty percent design. Each year as a part of its annual budget submittal, the department must include a detailed summary of how practical design has been applied and the associated savings gained. The annual summary must also include for each project: Details regarding any savings gained specifically through changes in the cost of materials, changes in the scope of a project and associated impacts on risk, the retirement of any risk reserves, and unused contingency funds.</w:t>
      </w:r>
    </w:p>
    <w:p>
      <w:pPr>
        <w:ind w:left="0" w:right="0" w:firstLine="360"/>
        <w:jc w:val="both"/>
      </w:pPr>
      <w:r>
        <w:rPr/>
        <w:t xml:space="preserve">(2)(a) The transportation future funding program is intended to provide for future emergent transportation projects, accelerating the schedule for existing connecting Washington projects, and highway preservation investments, beginning in fiscal year 2024, based on savings accrued from the application of practical design and any retired risk or unused contingency funding on connecting Washington projects.</w:t>
      </w:r>
    </w:p>
    <w:p>
      <w:pPr>
        <w:ind w:left="0" w:right="0" w:firstLine="360"/>
        <w:jc w:val="both"/>
      </w:pPr>
      <w:r>
        <w:rPr/>
        <w:t xml:space="preserve">(b) Beginning July 1, 2016, the department must submit a report to the state treasurer and the transportation committees of the legislature once every six months identifying the amount of savings attributable to the application of practical design, retired risk, and unused contingency funding, and report when the savings become available. The state treasurer must transfer the available amounts identified in the report to the transportation future funding program account created in section 2 of this act.</w:t>
      </w:r>
    </w:p>
    <w:p>
      <w:pPr>
        <w:ind w:left="0" w:right="0" w:firstLine="360"/>
        <w:jc w:val="both"/>
      </w:pPr>
      <w:r>
        <w:rPr/>
        <w:t xml:space="preserve">(c) Beginning in fiscal year 2024, as a part of its budget submittal, the department may provide a list of highway improvement projects or preservation investments for potential legislative approval as part of the transportation future funding program. Highway improvement projects considered for inclusion under the transportation future funding program may include new connecting Washington projects, or accelerate the schedule for existing connecting Washington projects, and must: Address significant safety concerns; alleviate congestion and advance mobility; provide compelling economic development gains; leverage partnership funds from local, federal, or other sources; or require a next phase of funding to build upon initial investments provided by the legislature.</w:t>
      </w:r>
    </w:p>
    <w:p>
      <w:pPr>
        <w:ind w:left="0" w:right="0" w:firstLine="360"/>
        <w:jc w:val="both"/>
      </w:pPr>
      <w:r>
        <w:rPr/>
        <w:t xml:space="preserve">(d) It is the intent of the legislature that if savings attributable to the application of practical design are used to accelerate existing connecting Washington projects, savings must also be used for new connecting Washington projects of equal cost.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ind w:left="0" w:right="0" w:firstLine="360"/>
        <w:jc w:val="both"/>
      </w:pPr>
      <w:r>
        <w:rPr/>
        <w:t xml:space="preserve">The transportation future funding program account is created in the connecting Washington account established in chapter . . . (Engrossed Substitute Senate Bill No. 5987), Laws of 2015 3rd sp. sess. Moneys in the account may be spent only after appropriation. Expenditures from the account must be used only for preservation projects, to accelerate the schedule of connecting Washington projects identified in chapter . . . (Engrossed Substitute Senate Bill No. 5988), Laws of 2015 3rd sp. sess., for new connecting Washington projects, and for principal and interest on bonds authorized for the projects. It is the legislature's intent that moneys not be appropriated from the account until 2024 and that moneys in the account be expended in equal amounts between preservation and improvement projects. Moneys in the account may not be expended on the state route number 99 Alaskan Way viaduct replacement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ind w:left="0" w:right="0" w:firstLine="360"/>
        <w:jc w:val="both"/>
      </w:pPr>
      <w:r>
        <w:rPr/>
        <w:t xml:space="preserve">(1) All earnings of investments of surplus balances in the state treasury shall be deposited to the treasury income account, which account is hereby established in the state treasury.</w:t>
      </w:r>
    </w:p>
    <w:p>
      <w:pPr>
        <w:ind w:left="0" w:right="0" w:firstLine="360"/>
        <w:jc w:val="both"/>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ind w:left="0" w:right="0" w:firstLine="360"/>
        <w:jc w:val="both"/>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ind w:left="0" w:right="0" w:firstLine="360"/>
        <w:jc w:val="both"/>
      </w:pPr>
      <w:r>
        <w:rPr/>
        <w:t xml:space="preserve">(4) Monthly, the state treasurer shall distribute the earnings credited to the treasury income account. The state treasurer shall credit the general fund with all the earnings credited to the treasury income account except:</w:t>
      </w:r>
    </w:p>
    <w:p>
      <w:pPr>
        <w:ind w:left="0" w:right="0" w:firstLine="360"/>
        <w:jc w:val="both"/>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w:t>
      </w:r>
      <w:r>
        <w:rPr>
          <w:u w:val="single"/>
        </w:rPr>
        <w:t xml:space="preserve">the transportation future funding program account,</w:t>
      </w:r>
      <w:r>
        <w:rPr/>
        <w:t xml:space="preserve">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ind w:left="0" w:right="0" w:firstLine="360"/>
        <w:jc w:val="both"/>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treasury accounts or funds shall be allocated earnings without the specific affirmative directive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ind w:left="0" w:right="0" w:firstLine="360"/>
        <w:jc w:val="both"/>
      </w:pPr>
      <w:r>
        <w:rPr/>
        <w:t xml:space="preserve">(1) All earnings of investments of surplus balances in the state treasury shall be deposited to the treasury income account, which account is hereby established in the state treasury.</w:t>
      </w:r>
    </w:p>
    <w:p>
      <w:pPr>
        <w:ind w:left="0" w:right="0" w:firstLine="360"/>
        <w:jc w:val="both"/>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ind w:left="0" w:right="0" w:firstLine="360"/>
        <w:jc w:val="both"/>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ind w:left="0" w:right="0" w:firstLine="360"/>
        <w:jc w:val="both"/>
      </w:pPr>
      <w:r>
        <w:rPr/>
        <w:t xml:space="preserve">(4) Monthly, the state treasurer shall distribute the earnings credited to the treasury income account. The state treasurer shall credit the general fund with all the earnings credited to the treasury income account except:</w:t>
      </w:r>
    </w:p>
    <w:p>
      <w:pPr>
        <w:ind w:left="0" w:right="0" w:firstLine="360"/>
        <w:jc w:val="both"/>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w:t>
      </w:r>
      <w:r>
        <w:rPr>
          <w:u w:val="single"/>
        </w:rPr>
        <w:t xml:space="preserve">the transportation future funding program account,</w:t>
      </w:r>
      <w:r>
        <w:rPr/>
        <w:t xml:space="preserve">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ind w:left="0" w:right="0" w:firstLine="360"/>
        <w:jc w:val="both"/>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treasury accounts or funds shall be allocated earnings without the specific affirmative directive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on the date the requirements set out in section 7, chapter 36, Laws of 2012 are met.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 the date the requirements set out in section 7, chapter 36, Laws of 2012 are met.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Strikes all material in the underlying bill and does the following:</w:t>
      </w:r>
    </w:p>
    <w:p>
      <w:pPr>
        <w:ind w:left="0" w:right="0" w:firstLine="360"/>
        <w:jc w:val="both"/>
      </w:pPr>
      <w:r>
        <w:rPr/>
        <w:t xml:space="preserve">(1) Encourages the Washington state department of transportation (WSDOT) to continue to apply practical design in project delivery and specifies that the legislature expects practical design to result in reduced project costs.</w:t>
      </w:r>
    </w:p>
    <w:p>
      <w:pPr>
        <w:ind w:left="0" w:right="0" w:firstLine="360"/>
        <w:jc w:val="both"/>
      </w:pPr>
      <w:r>
        <w:rPr/>
        <w:t xml:space="preserve">(2) Requires that significant changes to project title or scope as a result of practical design be approved by the legislature and requires that local governments and interested stakeholders review all proposed practical design changes prior to implementation.</w:t>
      </w:r>
    </w:p>
    <w:p>
      <w:pPr>
        <w:ind w:left="0" w:right="0" w:firstLine="360"/>
        <w:jc w:val="both"/>
      </w:pPr>
      <w:r>
        <w:rPr/>
        <w:t xml:space="preserve">(3) Requires the WSDOT to notify the transportation committees of the legislature prior to letting any contract with a title or scope change.</w:t>
      </w:r>
    </w:p>
    <w:p>
      <w:pPr>
        <w:ind w:left="0" w:right="0" w:firstLine="360"/>
        <w:jc w:val="both"/>
      </w:pPr>
      <w:r>
        <w:rPr/>
        <w:t xml:space="preserve">(4) Specifies that the WSDOT must evaluate projects at the end of the project design phase and determine practical design savings and report on the savings as part of its annual budget submittal.</w:t>
      </w:r>
    </w:p>
    <w:p>
      <w:pPr>
        <w:ind w:left="0" w:right="0" w:firstLine="360"/>
        <w:jc w:val="both"/>
      </w:pPr>
      <w:r>
        <w:rPr/>
        <w:t xml:space="preserve">(5) Designates that savings attributable to practical design must be made available through the transportation future funding program to new connecting Washington projects and to preservation investments beginning in fiscal year 2024.</w:t>
      </w:r>
    </w:p>
    <w:p>
      <w:pPr>
        <w:ind w:left="0" w:right="0" w:firstLine="360"/>
        <w:jc w:val="both"/>
      </w:pPr>
      <w:r>
        <w:rPr/>
        <w:t xml:space="preserve">(6) Allows the transportation future funding program to be used to accelerate the schedule of existing connecting Washington projects.</w:t>
      </w:r>
    </w:p>
    <w:p>
      <w:pPr>
        <w:ind w:left="0" w:right="0" w:firstLine="360"/>
        <w:jc w:val="both"/>
      </w:pPr>
      <w:r>
        <w:rPr/>
        <w:t xml:space="preserve">(7) Creates a new subaccount in the connecting Washington account called the transportation future funding program account and specifies that moneys in the account may not be expended on the SR 99 Alaskan Way viaduct replacement project.</w:t>
      </w:r>
    </w:p>
    <w:p>
      <w:pPr>
        <w:ind w:left="0" w:right="0" w:firstLine="360"/>
        <w:jc w:val="both"/>
      </w:pPr>
      <w:r>
        <w:rPr/>
        <w:t xml:space="preserve">(8) Adds an emergency clause for the bill to take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e354f837c420d" /></Relationships>
</file>