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b3a31a58b4b32" /></Relationships>
</file>

<file path=word/document.xml><?xml version="1.0" encoding="utf-8"?>
<w:document xmlns:w="http://schemas.openxmlformats.org/wordprocessingml/2006/main">
  <w:body>
    <w:p>
      <w:r>
        <w:rPr>
          <w:b/>
        </w:rPr>
        <w:r>
          <w:rPr/>
          <w:t xml:space="preserve">2064-S</w:t>
        </w:r>
      </w:r>
      <w:r>
        <w:rPr>
          <w:b/>
        </w:rPr>
        <w:t xml:space="preserve"> </w:t>
        <w:t xml:space="preserve">AMH</w:t>
      </w:r>
      <w:r>
        <w:rPr>
          <w:b/>
        </w:rPr>
        <w:t xml:space="preserve"> </w:t>
        <w:r>
          <w:rPr/>
          <w:t xml:space="preserve">MORR</w:t>
        </w:r>
      </w:r>
      <w:r>
        <w:rPr>
          <w:b/>
        </w:rPr>
        <w:t xml:space="preserve"> </w:t>
        <w:r>
          <w:rPr/>
          <w:t xml:space="preserve">H2185.1</w:t>
        </w:r>
      </w:r>
      <w:r>
        <w:rPr>
          <w:b/>
        </w:rPr>
        <w:t xml:space="preserve"> - NOT FOR FLOOR USE</w:t>
      </w:r>
    </w:p>
    <w:p>
      <w:pPr>
        <w:spacing w:before="480" w:after="0" w:line="408" w:lineRule="exact"/>
      </w:pPr>
      <w:r>
        <w:rPr>
          <w:b/>
          <w:u w:val="single"/>
        </w:rPr>
        <w:t xml:space="preserve">SHB 2064</w:t>
      </w:r>
      <w:r>
        <w:t xml:space="preserve"> -</w:t>
      </w:r>
      <w:r>
        <w:t xml:space="preserve"> </w:t>
        <w:t xml:space="preserve">H AMD</w:t>
      </w:r>
      <w:r>
        <w:t xml:space="preserve"> </w:t>
      </w:r>
      <w:r>
        <w:rPr>
          <w:b/>
        </w:rPr>
        <w:t xml:space="preserve">104</w:t>
      </w:r>
    </w:p>
    <w:p>
      <w:pPr>
        <w:spacing w:before="0" w:after="0" w:line="408" w:lineRule="exact"/>
        <w:ind w:left="0" w:right="0" w:firstLine="576"/>
        <w:jc w:val="left"/>
      </w:pPr>
      <w:r>
        <w:rPr/>
        <w:t xml:space="preserve">By Representative Morris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010</w:t>
      </w:r>
      <w:r>
        <w:rPr/>
        <w:t xml:space="preserve"> and 2007 c 1 s 1 are each amended to read as follows:</w:t>
      </w:r>
    </w:p>
    <w:p>
      <w:pPr>
        <w:spacing w:before="0" w:after="0" w:line="408" w:lineRule="exact"/>
        <w:ind w:left="0" w:right="0" w:firstLine="576"/>
        <w:jc w:val="left"/>
      </w:pPr>
      <w:r>
        <w:rPr/>
        <w:t xml:space="preserve">This chapter concerns requirements for new energy resources </w:t>
      </w:r>
      <w:r>
        <w:rPr>
          <w:u w:val="single"/>
        </w:rPr>
        <w:t xml:space="preserve">and other carbon reduction investments</w:t>
      </w:r>
      <w:r>
        <w:rPr/>
        <w:t xml:space="preserve">. This chapter requires large utilities to obtain fifteen percent of their electricity from new renewable resources such as solar and wind by 2020 and undertake cost-effective energy conservation.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020</w:t>
      </w:r>
      <w:r>
        <w:rPr/>
        <w:t xml:space="preserve"> and 2007 c 1 s 2 are each amended to read as follows:</w:t>
      </w:r>
    </w:p>
    <w:p>
      <w:pPr>
        <w:spacing w:before="0" w:after="0" w:line="408" w:lineRule="exact"/>
        <w:ind w:left="0" w:right="0" w:firstLine="576"/>
        <w:jc w:val="left"/>
      </w:pPr>
      <w:r>
        <w:rPr/>
        <w:t xml:space="preserve">Increasing energy conservation</w:t>
      </w:r>
      <w:r>
        <w:rPr>
          <w:u w:val="single"/>
        </w:rPr>
        <w:t xml:space="preserve">, investing in technologies and programs that enhance the deployment and integration of renewable energy such as energy storage and demand response, reducing greenhouse gas emissions,</w:t>
      </w:r>
      <w:r>
        <w:rPr/>
        <w:t xml:space="preserve"> and the use of appropriately sited renewable energy facilities builds on the strong foundation of low-cost renewable hydroelectric generation in Washington state and will promote energy independence in the state and the Pacific Northwest region. Making the most of our plentiful local resources will stabilize electricity prices for Washington residents, provide economic benefits for Washington counties and farmers, create high-quality jobs in Washington, provide opportunities for training apprentice workers in the renewable energy field, protect clean air and water, and position Washington state as a national leader in </w:t>
      </w:r>
      <w:r>
        <w:rPr>
          <w:u w:val="single"/>
        </w:rPr>
        <w:t xml:space="preserve">developing, deploying, and integrating</w:t>
      </w:r>
      <w:r>
        <w:rPr/>
        <w:t xml:space="preserve"> clean</w:t>
      </w:r>
      <w:r>
        <w:rPr>
          <w:u w:val="single"/>
        </w:rPr>
        <w:t xml:space="preserve">, renewable, and distributed</w:t>
      </w:r>
      <w:r>
        <w:rPr/>
        <w:t xml:space="preserve"> energy technologies. </w:t>
      </w:r>
      <w:r>
        <w:rPr>
          <w:u w:val="single"/>
        </w:rPr>
        <w:t xml:space="preserve">The reduction of greenhouse gas emissions through offset contracts, credits, and other greenhouse gas mitigation efforts is recognized by the legislature as a utility purpose that confers a direct benefit on a utility's ratepayers.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w:t>
      </w:r>
      <w:r>
        <w:t>((</w:t>
      </w:r>
      <w:r>
        <w:rPr>
          <w:strike/>
        </w:rPr>
        <w:t xml:space="preserve">(j)</w:t>
      </w:r>
      <w:r>
        <w:t>))</w:t>
      </w:r>
      <w:r>
        <w:rPr/>
        <w:t xml:space="preserve"> </w:t>
      </w:r>
      <w:r>
        <w:rPr>
          <w:u w:val="single"/>
        </w:rPr>
        <w:t xml:space="preserve">(e) and (o)</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rPr>
          <w:u w:val="single"/>
        </w:rPr>
        <w:t xml:space="preserve">A qualifying utility is considered in compliance with the requirements of this subsection (2) for a given year if the following conditions apply for any year of the first two years of an integrated resource plan or other resource plan adopted by the utility pursuant to RCW 19.280.030:</w:t>
      </w:r>
    </w:p>
    <w:p>
      <w:pPr>
        <w:spacing w:before="0" w:after="0" w:line="408" w:lineRule="exact"/>
        <w:ind w:left="0" w:right="0" w:firstLine="576"/>
        <w:jc w:val="left"/>
      </w:pPr>
      <w:r>
        <w:rPr>
          <w:u w:val="single"/>
        </w:rPr>
        <w:t xml:space="preserve">(i) Either:</w:t>
      </w:r>
    </w:p>
    <w:p>
      <w:pPr>
        <w:spacing w:before="0" w:after="0" w:line="408" w:lineRule="exact"/>
        <w:ind w:left="0" w:right="0" w:firstLine="576"/>
        <w:jc w:val="left"/>
      </w:pPr>
      <w:r>
        <w:rPr>
          <w:u w:val="single"/>
        </w:rPr>
        <w:t xml:space="preserve">(A) The load to be served by the utility is not projected to increase from the previous year, net of conservation; or</w:t>
      </w:r>
    </w:p>
    <w:p>
      <w:pPr>
        <w:spacing w:before="0" w:after="0" w:line="408" w:lineRule="exact"/>
        <w:ind w:left="0" w:right="0" w:firstLine="576"/>
        <w:jc w:val="left"/>
      </w:pPr>
      <w:r>
        <w:rPr>
          <w:u w:val="single"/>
        </w:rPr>
        <w:t xml:space="preserve">(B) The cumulative load growth from December 7, 2006, including the projected load growth for the target year, net of conservation, is served by eligible renewable resources or renewable energy credits and is projected to be less than the amount of eligible renewable resources that would otherwise be required to meet the annual target in (a) of this subsection for that year; or</w:t>
      </w:r>
    </w:p>
    <w:p>
      <w:pPr>
        <w:spacing w:before="0" w:after="0" w:line="408" w:lineRule="exact"/>
        <w:ind w:left="0" w:right="0" w:firstLine="576"/>
        <w:jc w:val="left"/>
      </w:pPr>
      <w:r>
        <w:rPr>
          <w:u w:val="single"/>
        </w:rPr>
        <w:t xml:space="preserve">(C) The utility has projected sufficient resources, owned or under contract as of January 1, 2010, to serve its projected load, net of conservation, for the target year; and</w:t>
      </w:r>
    </w:p>
    <w:p>
      <w:pPr>
        <w:spacing w:before="0" w:after="0" w:line="408" w:lineRule="exact"/>
        <w:ind w:left="0" w:right="0" w:firstLine="576"/>
        <w:jc w:val="left"/>
      </w:pPr>
      <w:r>
        <w:rPr>
          <w:u w:val="single"/>
        </w:rPr>
        <w:t xml:space="preserve">(ii) The utility did not otherwise commence or renew ownership or make incremental purchases of electricity, other than on a daily spot price basis, from resources other than coal transition power or renewable resources, and the electricity is not offset by equivalent renewable energy credits; and</w:t>
      </w:r>
    </w:p>
    <w:p>
      <w:pPr>
        <w:spacing w:before="0" w:after="0" w:line="408" w:lineRule="exact"/>
        <w:ind w:left="0" w:right="0" w:firstLine="576"/>
        <w:jc w:val="left"/>
      </w:pPr>
      <w:r>
        <w:rPr>
          <w:u w:val="single"/>
        </w:rPr>
        <w:t xml:space="preserve">(iii) The utility has invested at least one percent of its total annual retail revenue requirement that year on one or more of the following carbon reduction investments, renewable energy enhancement technologies, or clean energy investments in any combination: Eligible renewable resources; renewable energy credits; conservation measures exceeding the avoided cost of power as identified by the Pacific Northwest electric power and conservation planning council that are not otherwise included in the qualifying utility's conservation potential assessment; renewable energy enhancement and integration technologies and programs including energy storage, demand response, and other distribution level enhancement and integration programs; carbon reduction investments in the transportation and other sectors, including but not limited to electric vehicle charging stations and the conversion of the transportation fleet in the state to electricity and other alternative fuels; research and development for clean energy technologies; the purchase, trade, and banking of greenhouse gas emission offsets or credits; or other projects as approved by the commission or governing board, as appropriate, that reduce or offset or lead to development of technology that reduces or offsets emissions of greenhouse gases, or enhances renewable energy integration and technology deployment.</w:t>
      </w:r>
    </w:p>
    <w:p>
      <w:pPr>
        <w:spacing w:before="0" w:after="0" w:line="408" w:lineRule="exact"/>
        <w:ind w:left="0" w:right="0" w:firstLine="576"/>
        <w:jc w:val="left"/>
      </w:pPr>
      <w:r>
        <w:rPr>
          <w:u w:val="single"/>
        </w:rPr>
        <w:t xml:space="preserve">(f) If a state greenhouse gas emissions reduction registry is established in this state or another state, a utility may purchase, trade, or bank greenhouse gas emissions reductions from carbon reduction investments made under this subsection and receive credit in the registry, provided that the credits are retained by the qualifying utility and are measured, verified, and documented by a third-party expert from a list of independent organizations qualified by the department of ecology as having proven experience in emissions mitigation activities.</w:t>
      </w:r>
    </w:p>
    <w:p>
      <w:pPr>
        <w:spacing w:before="0" w:after="0" w:line="408" w:lineRule="exact"/>
        <w:ind w:left="0" w:right="0" w:firstLine="576"/>
        <w:jc w:val="left"/>
      </w:pPr>
      <w:r>
        <w:rPr>
          <w:u w:val="single"/>
        </w:rPr>
        <w:t xml:space="preserve">(g) A utility must document compliance with the option provided under (e) of this subsection by June 30th after the completion of the target year for which it is to be utilized, or, if unable to document compliance by that date, must document compliance with either (a) or (d) of this subsection or RCW 19.285.050 by December 31st of that same year.</w:t>
      </w:r>
    </w:p>
    <w:p>
      <w:pPr>
        <w:spacing w:before="0" w:after="0" w:line="408" w:lineRule="exact"/>
        <w:ind w:left="0" w:right="0" w:firstLine="576"/>
        <w:jc w:val="left"/>
      </w:pPr>
      <w:r>
        <w:rPr>
          <w:u w:val="single"/>
        </w:rPr>
        <w:t xml:space="preserve">(h) The governing board of a consumer-owned utility which performs planning projections for compliance under (e) of this subsection has sole authority to determine the process, timelines, and documentation for developing planning projections pursuant to chapter 19.280 RCW, as performed under (e) of this subsection.</w:t>
      </w:r>
    </w:p>
    <w:p>
      <w:pPr>
        <w:spacing w:before="0" w:after="0" w:line="408" w:lineRule="exact"/>
        <w:ind w:left="0" w:right="0" w:firstLine="576"/>
        <w:jc w:val="left"/>
      </w:pPr>
      <w:r>
        <w:rPr>
          <w:u w:val="single"/>
        </w:rPr>
        <w:t xml:space="preserve">(i) A utility which meets the conditions for compliance under either (d) or (e) of this subsection shall resume meeting the compliance requirements in this section on a time frame comparable in length to what it would have been before using an alternative compliance option.</w:t>
      </w:r>
    </w:p>
    <w:p>
      <w:pPr>
        <w:spacing w:before="0" w:after="0" w:line="408" w:lineRule="exact"/>
        <w:ind w:left="0" w:right="0" w:firstLine="576"/>
        <w:jc w:val="left"/>
      </w:pPr>
      <w:r>
        <w:rPr>
          <w:u w:val="single"/>
        </w:rPr>
        <w:t xml:space="preserve">(j)</w:t>
      </w:r>
      <w:r>
        <w:rPr/>
        <w:t xml:space="preserv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(k)</w:t>
      </w:r>
      <w:r>
        <w:rPr/>
        <w:t xml:space="preserve">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t>((</w:t>
      </w:r>
      <w:r>
        <w:rPr>
          <w:strike/>
        </w:rPr>
        <w:t xml:space="preserve">(g)</w:t>
      </w:r>
      <w:r>
        <w:t>))</w:t>
      </w:r>
      <w:r>
        <w:rPr/>
        <w:t xml:space="preserve"> </w:t>
      </w:r>
      <w:r>
        <w:rPr>
          <w:u w:val="single"/>
        </w:rPr>
        <w:t xml:space="preserve">(l)</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t>((</w:t>
      </w:r>
      <w:r>
        <w:rPr>
          <w:strike/>
        </w:rPr>
        <w:t xml:space="preserve">(h)</w:t>
      </w:r>
      <w:r>
        <w:t>))</w:t>
      </w:r>
      <w:r>
        <w:rPr/>
        <w:t xml:space="preserve"> </w:t>
      </w:r>
      <w:r>
        <w:rPr>
          <w:u w:val="single"/>
        </w:rPr>
        <w:t xml:space="preserve">(m)</w:t>
      </w:r>
      <w:r>
        <w:rPr/>
        <w:t xml:space="preserve">(i)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t>((</w:t>
      </w:r>
      <w:r>
        <w:rPr>
          <w:strike/>
        </w:rPr>
        <w:t xml:space="preserve">(i)</w:t>
      </w:r>
      <w:r>
        <w:t>))</w:t>
      </w:r>
      <w:r>
        <w:rPr/>
        <w:t xml:space="preserve"> </w:t>
      </w:r>
      <w:r>
        <w:rPr>
          <w:u w:val="single"/>
        </w:rPr>
        <w:t xml:space="preserve">(n)</w:t>
      </w:r>
      <w:r>
        <w:rPr/>
        <w:t xml:space="preserve">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t>((</w:t>
      </w:r>
      <w:r>
        <w:rPr>
          <w:strike/>
        </w:rPr>
        <w:t xml:space="preserve">(j)</w:t>
      </w:r>
      <w:r>
        <w:t>))</w:t>
      </w:r>
      <w:r>
        <w:rPr/>
        <w:t xml:space="preserve"> </w:t>
      </w:r>
      <w:r>
        <w:rPr>
          <w:u w:val="single"/>
        </w:rPr>
        <w:t xml:space="preserve">(o)</w:t>
      </w:r>
      <w:r>
        <w:rPr/>
        <w:t xml:space="preserve">(i)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t>((</w:t>
      </w:r>
      <w:r>
        <w:rPr>
          <w:strike/>
        </w:rPr>
        <w:t xml:space="preserve">(k)</w:t>
      </w:r>
      <w:r>
        <w:t>))</w:t>
      </w:r>
      <w:r>
        <w:rPr/>
        <w:t xml:space="preserve"> </w:t>
      </w:r>
      <w:r>
        <w:rPr>
          <w:u w:val="single"/>
        </w:rPr>
        <w:t xml:space="preserve">(p)</w:t>
      </w:r>
      <w:r>
        <w:rPr/>
        <w:t xml:space="preserve">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w:t>
      </w:r>
      <w:r>
        <w:rPr>
          <w:u w:val="single"/>
        </w:rPr>
        <w:t xml:space="preserve">Except as provided in RCW 19.285.040(2)(h), t</w:t>
      </w:r>
      <w:r>
        <w:rPr/>
        <w:t xml:space="preserve">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w:t>
      </w:r>
      <w:r>
        <w:t>((</w:t>
      </w:r>
      <w:r>
        <w:rPr>
          <w:strike/>
        </w:rPr>
        <w:t xml:space="preserve">(i)</w:t>
      </w:r>
      <w:r>
        <w:t>))</w:t>
      </w:r>
      <w:r>
        <w:rPr/>
        <w:t xml:space="preserve"> </w:t>
      </w:r>
      <w:r>
        <w:rPr>
          <w:u w:val="single"/>
        </w:rPr>
        <w:t xml:space="preserve">(n)</w:t>
      </w:r>
      <w:r>
        <w:rPr/>
        <w:t xml:space="preserve"> or 19.285.050(1); and the format and content of reports required in RCW 19.285.070. </w:t>
      </w:r>
      <w:r>
        <w:rPr>
          <w:u w:val="single"/>
        </w:rPr>
        <w:t xml:space="preserve">The department may not adopt rules concerning RCW 19.285.040(2)(h).</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intent language recognizing the reduction of greenhouse gas emissions through offset contracts, credits, and other greenhouse gas mitigation efforts as a utility purpose that confers a direct benefit on a utility's ratepayers. Specifies that instead of being considered in compliance with an annual renewable energy target under certain conditions, a qualifying utility is considered in compliance with the requirement to use eligible renewable resources or acquire equivalent renewable energy credits to meet annual targets if certain conditions apply. Adds certain carbon reduction investments and renewable energy enhancement technologies to the types of investments in which a utility must invest at least one percent of its total annual retail revenue requirement in order to be considered in compliance with the requirement to use eligible renewable resources or acquire equivalent renewable energy credits to meet annual targets.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54f4a2933a48fc" /></Relationships>
</file>