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cdec6199a48f6" /></Relationships>
</file>

<file path=word/document.xml><?xml version="1.0" encoding="utf-8"?>
<w:document xmlns:w="http://schemas.openxmlformats.org/wordprocessingml/2006/main">
  <w:body>
    <w:p>
      <w:r>
        <w:rPr>
          <w:b/>
        </w:rPr>
        <w:r>
          <w:rPr/>
          <w:t xml:space="preserve">2156-S</w:t>
        </w:r>
      </w:r>
      <w:r>
        <w:rPr>
          <w:b/>
        </w:rPr>
        <w:t xml:space="preserve"> </w:t>
        <w:t xml:space="preserve">AMH</w:t>
      </w:r>
      <w:r>
        <w:rPr>
          <w:b/>
        </w:rPr>
        <w:t xml:space="preserve"> </w:t>
        <w:r>
          <w:rPr/>
          <w:t xml:space="preserve">THAR</w:t>
        </w:r>
      </w:r>
      <w:r>
        <w:rPr>
          <w:b/>
        </w:rPr>
        <w:t xml:space="preserve"> </w:t>
        <w:r>
          <w:rPr/>
          <w:t xml:space="preserve">H2964.1</w:t>
        </w:r>
      </w:r>
      <w:r>
        <w:rPr>
          <w:b/>
        </w:rPr>
        <w:t xml:space="preserve"> - NOT FOR FLOOR USE</w:t>
      </w:r>
    </w:p>
    <w:p>
      <w:pPr>
        <w:ind w:left="0" w:right="0" w:firstLine="576"/>
      </w:pPr>
    </w:p>
    <w:p>
      <w:pPr>
        <w:spacing w:before="480" w:after="0" w:line="408" w:lineRule="exact"/>
      </w:pPr>
      <w:r>
        <w:rPr>
          <w:b/>
          <w:u w:val="single"/>
        </w:rPr>
        <w:t xml:space="preserve">SHB 2156</w:t>
      </w:r>
      <w:r>
        <w:t xml:space="preserve"> -</w:t>
      </w:r>
      <w:r>
        <w:t xml:space="preserve"> </w:t>
        <w:t xml:space="preserve">H AMD</w:t>
      </w:r>
      <w:r>
        <w:t xml:space="preserve"> </w:t>
      </w:r>
      <w:r>
        <w:rPr>
          <w:b/>
        </w:rPr>
        <w:t xml:space="preserve">568</w:t>
      </w:r>
    </w:p>
    <w:p>
      <w:pPr>
        <w:ind w:left="0" w:right="0" w:firstLine="360"/>
        <w:jc w:val="both"/>
      </w:pPr>
      <w:r>
        <w:rPr/>
        <w:t xml:space="preserve">By Representative Tharinger</w:t>
      </w:r>
    </w:p>
    <w:p>
      <w:pPr>
        <w:jc w:val="right"/>
      </w:pPr>
      <w:r>
        <w:rPr>
          <w:b/>
        </w:rPr>
        <w:t xml:space="preserve">ADOPTED 6/30/2015</w:t>
      </w:r>
    </w:p>
    <w:p>
      <w:pPr>
        <w:ind w:left="0" w:right="0" w:firstLine="360"/>
        <w:jc w:val="both"/>
      </w:pPr>
      <w:r>
        <w:rPr/>
        <w:t xml:space="preserve">Beginning on page 13, line 7, strike all of section 303 and insert the following:</w:t>
      </w:r>
    </w:p>
    <w:p>
      <w:pPr>
        <w:ind w:left="0" w:right="0" w:firstLine="360"/>
        <w:jc w:val="both"/>
      </w:pPr>
      <w:r>
        <w:t>"</w:t>
      </w:r>
      <w:r>
        <w:rPr>
          <w:b/>
        </w:rPr>
        <w:t xml:space="preserve">Sec. </w:t>
      </w:r>
      <w:r>
        <w:rPr>
          <w:b/>
        </w:rPr>
        <w:fldChar w:fldCharType="begin"/>
      </w:r>
      <w:r>
        <w:rPr>
          <w:b/>
        </w:rPr>
        <w:instrText xml:space="default"> LISTNUM  LegalDefault \l 1 \s 303</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ind w:left="0" w:right="0" w:firstLine="360"/>
        <w:jc w:val="both"/>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w:t>
      </w:r>
      <w:r>
        <w:t>((</w:t>
      </w:r>
      <w:r>
        <w:rPr>
          <w:strike/>
        </w:rPr>
        <w:t xml:space="preserve">shall</w:t>
      </w:r>
      <w:r>
        <w:t>))</w:t>
      </w:r>
      <w:r>
        <w:rPr/>
        <w:t xml:space="preserve"> </w:t>
      </w:r>
      <w:r>
        <w:rPr>
          <w:u w:val="single"/>
        </w:rPr>
        <w:t xml:space="preserve">must</w:t>
      </w:r>
      <w:r>
        <w:rPr/>
        <w:t xml:space="preserve"> include an amount determined by the authority to pay such administrative expenses of the authority as are necessary to administer the plans for employees of those groups, except as provided in subsection (4) of this section.</w:t>
      </w:r>
    </w:p>
    <w:p>
      <w:pPr>
        <w:ind w:left="0" w:right="0" w:firstLine="360"/>
        <w:jc w:val="both"/>
      </w:pPr>
      <w:r>
        <w:rPr/>
        <w:t xml:space="preserve">(2) </w:t>
      </w:r>
      <w:r>
        <w:t>((</w:t>
      </w:r>
      <w:r>
        <w:rPr>
          <w:strike/>
        </w:rPr>
        <w:t xml:space="preserve">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r>
        <w:t>))</w:t>
      </w:r>
      <w:r>
        <w:rPr/>
        <w:t xml:space="preserve"> </w:t>
      </w:r>
      <w:r>
        <w:rPr>
          <w:u w:val="single"/>
        </w:rPr>
        <w:t xml:space="preserve">To account for increased cost of benefits for the state and state employees the authority may develop a rate surcharge applicable to participating counties, municipalities, other political subdivisions, and tribal governments.</w:t>
      </w:r>
    </w:p>
    <w:p>
      <w:pPr>
        <w:ind w:left="0" w:right="0" w:firstLine="360"/>
        <w:jc w:val="both"/>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ind w:left="0" w:right="0" w:firstLine="360"/>
        <w:jc w:val="both"/>
      </w:pPr>
      <w:r>
        <w:rPr/>
        <w:t xml:space="preserve">(4)(a) The authority </w:t>
      </w:r>
      <w:r>
        <w:t>((</w:t>
      </w:r>
      <w:r>
        <w:rPr>
          <w:strike/>
        </w:rPr>
        <w:t xml:space="preserve">shall</w:t>
      </w:r>
      <w:r>
        <w:t>))</w:t>
      </w:r>
      <w:r>
        <w:rPr/>
        <w:t xml:space="preserve"> </w:t>
      </w:r>
      <w:r>
        <w:rPr>
          <w:u w:val="single"/>
        </w:rPr>
        <w:t xml:space="preserve">must</w:t>
      </w:r>
      <w:r>
        <w:rPr/>
        <w:t xml:space="preserve">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ind w:left="0" w:right="0" w:firstLine="360"/>
        <w:jc w:val="both"/>
      </w:pPr>
      <w:r>
        <w:rPr/>
        <w:t xml:space="preserve">(b) For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ind w:left="0" w:right="0" w:firstLine="360"/>
        <w:jc w:val="both"/>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ind w:left="0" w:right="0" w:firstLine="360"/>
        <w:jc w:val="both"/>
      </w:pPr>
      <w:r>
        <w:rPr/>
        <w:t xml:space="preserve">(d) The authority may charge districts a one-time set-up fee for employee groups enrolling in authority plans for the first time.</w:t>
      </w:r>
    </w:p>
    <w:p>
      <w:pPr>
        <w:ind w:left="0" w:right="0" w:firstLine="360"/>
        <w:jc w:val="both"/>
      </w:pPr>
      <w:r>
        <w:rPr/>
        <w:t xml:space="preserve">(e) For the purposes of this subsection:</w:t>
      </w:r>
    </w:p>
    <w:p>
      <w:pPr>
        <w:ind w:left="0" w:right="0" w:firstLine="360"/>
        <w:jc w:val="both"/>
      </w:pPr>
      <w:r>
        <w:rPr/>
        <w:t xml:space="preserve">(i) "District" means school district and educational service district; and</w:t>
      </w:r>
    </w:p>
    <w:p>
      <w:pPr>
        <w:ind w:left="0" w:right="0" w:firstLine="360"/>
        <w:jc w:val="both"/>
      </w:pPr>
      <w:r>
        <w:rPr/>
        <w:t xml:space="preserve">(ii) "Tiered rates" means the amounts the authority must pay to insuring entities by plan and by family size.</w:t>
      </w:r>
    </w:p>
    <w:p>
      <w:pPr>
        <w:ind w:left="0" w:right="0" w:firstLine="360"/>
        <w:jc w:val="both"/>
      </w:pPr>
      <w:r>
        <w:rPr/>
        <w:t xml:space="preserve">(f) Notwithstanding this subsection and RCW 41.05.065(4), the authority may allow districts enrolled on a tiered rate structure prior to September 1, 2002, to continue participation based on the same rate structure and under the same conditions and eligibility criteria.</w:t>
      </w:r>
    </w:p>
    <w:p>
      <w:pPr>
        <w:ind w:left="0" w:right="0" w:firstLine="360"/>
        <w:jc w:val="both"/>
      </w:pPr>
      <w:r>
        <w:rPr/>
        <w:t xml:space="preserve">(5) The authority shall transmit a recommendation for the amount of the employer contribution to the governor and the director of financial management for inclusion in the proposed budgets submitted to the legislature."</w:t>
      </w:r>
    </w:p>
    <w:p>
      <w:pPr>
        <w:ind w:left="0" w:right="0" w:firstLine="360"/>
        <w:jc w:val="both"/>
      </w:pPr>
      <w:r>
        <w:rPr>
          <w:u w:val="single"/>
        </w:rPr>
        <w:t xml:space="preserve">EFFECT:</w:t>
      </w:r>
      <w:r>
        <w:rPr/>
        <w:t xml:space="preserve"> Authorizes the Health Care Authority (HCA) to develop a health benefit and insurance rate surcharge for counties, municipalities, other political subdivision and tribal governments that are authorized to participate in the Public Employees' Benefits Board programs to account for increased benefit costs for the state and state employees, as opposed to having the HCA develop an employer-specific surcharge that offsets significant rate increases that could be caused by the participation of an individual nonstate government employer.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eb755dbf445e6" /></Relationships>
</file>