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f3bd4351a4b29" /></Relationships>
</file>

<file path=word/document.xml><?xml version="1.0" encoding="utf-8"?>
<w:document xmlns:w="http://schemas.openxmlformats.org/wordprocessingml/2006/main">
  <w:body>
    <w:p>
      <w:r>
        <w:rPr>
          <w:b/>
        </w:rPr>
        <w:r>
          <w:rPr/>
          <w:t xml:space="preserve">5037-S</w:t>
        </w:r>
      </w:r>
      <w:r>
        <w:rPr>
          <w:b/>
        </w:rPr>
        <w:t xml:space="preserve"> </w:t>
        <w:t xml:space="preserve">AMH</w:t>
      </w:r>
      <w:r>
        <w:rPr>
          <w:b/>
        </w:rPr>
        <w:t xml:space="preserve"> </w:t>
        <w:r>
          <w:rPr/>
          <w:t xml:space="preserve">PS</w:t>
        </w:r>
      </w:r>
      <w:r>
        <w:rPr>
          <w:b/>
        </w:rPr>
        <w:t xml:space="preserve"> </w:t>
        <w:r>
          <w:rPr/>
          <w:t xml:space="preserve">H2470.1</w:t>
        </w:r>
      </w:r>
      <w:r>
        <w:rPr>
          <w:b/>
        </w:rPr>
        <w:t xml:space="preserve"> - NOT FOR FLOOR USE</w:t>
      </w:r>
    </w:p>
    <w:p>
      <w:pPr>
        <w:spacing w:before="480" w:after="0" w:line="408" w:lineRule="exact"/>
      </w:pPr>
      <w:r>
        <w:rPr>
          <w:b/>
          <w:u w:val="single"/>
        </w:rPr>
        <w:t xml:space="preserve">SSB 5037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receives at least one electronic communication seeking participation in the theft in the course of 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(5)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 that makes a conviction for organized retail theft under the new means (with six accomplices and an electronic communication) a gross misdemeanor on the first offense and a class C felony on the second or subsequent offense regardless of the dollar value of the property stolen or possessed.</w:t>
      </w:r>
    </w:p>
    <w:p>
      <w:pPr>
        <w:spacing w:before="0" w:after="0" w:line="408" w:lineRule="exact"/>
        <w:ind w:left="0" w:right="0" w:firstLine="576"/>
        <w:jc w:val="left"/>
      </w:pPr>
      <w:r>
        <w:rPr/>
        <w:t xml:space="preserve">(2) Provides that all means of committing the crime of organized retail theft, including the new means (with six accomplices and an electronic communication), are separated into first and second degree, depending on the value of the property stolen or possessed.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4b893728f4c31" /></Relationships>
</file>