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e788627a74f49" /></Relationships>
</file>

<file path=word/document.xml><?xml version="1.0" encoding="utf-8"?>
<w:document xmlns:w="http://schemas.openxmlformats.org/wordprocessingml/2006/main">
  <w:body>
    <w:p>
      <w:r>
        <w:rPr>
          <w:b/>
        </w:rPr>
        <w:r>
          <w:rPr/>
          <w:t xml:space="preserve">5048-S.E</w:t>
        </w:r>
      </w:r>
      <w:r>
        <w:rPr>
          <w:b/>
        </w:rPr>
        <w:t xml:space="preserve"> </w:t>
        <w:t xml:space="preserve">AMH</w:t>
      </w:r>
      <w:r>
        <w:rPr>
          <w:b/>
        </w:rPr>
        <w:t xml:space="preserve"> </w:t>
        <w:r>
          <w:rPr/>
          <w:t xml:space="preserve">ENGR</w:t>
        </w:r>
      </w:r>
      <w:r>
        <w:rPr>
          <w:b/>
        </w:rPr>
        <w:t xml:space="preserve"> </w:t>
        <w:r>
          <w:rPr/>
          <w:t xml:space="preserve">H2385.E</w:t>
        </w:r>
      </w:r>
      <w:r>
        <w:rPr>
          <w:b/>
        </w:rPr>
        <w:t xml:space="preserve"> - NOT FOR FLOOR USE</w:t>
      </w:r>
    </w:p>
    <w:p>
      <w:pPr>
        <w:ind w:left="0" w:right="0" w:firstLine="576"/>
      </w:pPr>
    </w:p>
    <w:p>
      <w:pPr>
        <w:spacing w:before="480" w:after="0" w:line="408" w:lineRule="exact"/>
      </w:pPr>
      <w:r>
        <w:rPr>
          <w:b/>
          <w:u w:val="single"/>
        </w:rPr>
        <w:t xml:space="preserve">ESSB 5048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and issue a petition identification number. The ballot title must be prepared by the applicable city attorney in accordance with this section and RCW 29A.36.071, and the question posed to the voters must be written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all or part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ninety or more days after its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2006 c 311 s 9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may exceed seventy-five words. If the local governmental unit is a city or a town, </w:t>
      </w:r>
      <w:r>
        <w:rPr>
          <w:u w:val="single"/>
        </w:rPr>
        <w:t xml:space="preserve">or if the ballot title is for a referendum under section 1 of this act,</w:t>
      </w:r>
      <w:r>
        <w:rPr/>
        <w:t xml:space="preserve"> the concise statement shall be prepared by the city or town attorney. If the local governmental unit is a county, the concise statement shall be prepared by the prosecuting attorney of the county. If the unit is a unit of local government other than a city, town, or county, the concise statement shall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shall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622d5a34647a6" /></Relationships>
</file>