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3a0558d63452e" /></Relationships>
</file>

<file path=word/document.xml><?xml version="1.0" encoding="utf-8"?>
<w:document xmlns:w="http://schemas.openxmlformats.org/wordprocessingml/2006/main">
  <w:body>
    <w:p>
      <w:r>
        <w:rPr>
          <w:b/>
        </w:rPr>
        <w:r>
          <w:rPr/>
          <w:t xml:space="preserve">5057-S2.E</w:t>
        </w:r>
      </w:r>
      <w:r>
        <w:rPr>
          <w:b/>
        </w:rPr>
        <w:t xml:space="preserve"> </w:t>
        <w:t xml:space="preserve">AMH</w:t>
      </w:r>
      <w:r>
        <w:t xml:space="preserve"> </w:t>
      </w:r>
      <w:r>
        <w:rPr>
          <w:b/>
        </w:rPr>
        <w:t xml:space="preserve">450</w:t>
      </w:r>
      <w:r>
        <w:rPr>
          <w:b/>
        </w:rPr>
        <w:t xml:space="preserve"> </w:t>
        <w:r>
          <w:rPr/>
          <w:t xml:space="preserve">SHEA</w:t>
        </w:r>
      </w:r>
      <w:r>
        <w:rPr>
          <w:b/>
        </w:rPr>
        <w:t xml:space="preserve"> </w:t>
        <w:r>
          <w:rPr/>
          <w:t xml:space="preserve">H2675.1</w:t>
        </w:r>
      </w:r>
      <w:r>
        <w:rPr>
          <w:b/>
        </w:rPr>
        <w:t xml:space="preserve"> - NOT FOR FLOOR USE</w:t>
      </w:r>
    </w:p>
    <w:p>
      <w:pPr>
        <w:ind w:left="0" w:right="0" w:firstLine="576"/>
      </w:pPr>
      <w:r>
        <w:rPr/>
        <w:t xml:space="preserve"> </w:t>
      </w:r>
    </w:p>
    <w:p>
      <w:pPr>
        <w:spacing w:before="480" w:after="0" w:line="408" w:lineRule="exact"/>
      </w:pPr>
      <w:r>
        <w:rPr>
          <w:b/>
          <w:u w:val="single"/>
        </w:rPr>
        <w:t xml:space="preserve">E2SSB 5057</w:t>
      </w:r>
      <w:r>
        <w:t xml:space="preserve"> -</w:t>
      </w:r>
      <w:r>
        <w:t xml:space="preserve"> </w:t>
        <w:t xml:space="preserve">H AMD TO H AMD (H-2656.4/15)</w:t>
      </w:r>
    </w:p>
    <w:p>
      <w:pPr>
        <w:ind w:left="0" w:right="0" w:firstLine="360"/>
        <w:jc w:val="both"/>
      </w:pPr>
      <w:r>
        <w:rPr/>
        <w:t xml:space="preserve">By Representative Shea</w:t>
      </w:r>
    </w:p>
    <w:p>
      <w:pPr>
        <w:jc w:val="right"/>
      </w:pPr>
      <w:r>
        <w:rPr>
          <w:b/>
        </w:rPr>
        <w:t xml:space="preserve">OUT OF ORDER 4/14/2015</w:t>
      </w:r>
    </w:p>
    <w:p>
      <w:pPr>
        <w:ind w:left="0" w:right="0" w:firstLine="360"/>
        <w:jc w:val="both"/>
      </w:pPr>
      <w:r>
        <w:rPr/>
        <w:t xml:space="preserve">Beginning on page 1, after line 2 of the amendment, strike all material through "2015." on page 50, line 12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w:t>
      </w:r>
      <w:r>
        <w:rPr>
          <w:u w:val="single"/>
        </w:rPr>
        <w:t xml:space="preserve">"Bulk oil terminal" means a facility of any kind, other than a waterborne vessel, that is used for transferring crude oil from a tank car.</w:t>
      </w:r>
    </w:p>
    <w:p>
      <w:pPr>
        <w:ind w:left="0" w:right="0" w:firstLine="360"/>
        <w:jc w:val="both"/>
      </w:pPr>
      <w:r>
        <w:rPr>
          <w:u w:val="single"/>
        </w:rPr>
        <w:t xml:space="preserve">(3)</w:t>
      </w:r>
      <w:r>
        <w:rPr/>
        <w:t xml:space="preserve"> "Crude oil" means any naturally occurring liquid hydrocarbons at atmospheric temperature and pressure coming from the earth, including condensate and natural gasoline.</w:t>
      </w:r>
    </w:p>
    <w:p>
      <w:pPr>
        <w:ind w:left="0" w:right="0" w:firstLine="360"/>
        <w:jc w:val="both"/>
      </w:pPr>
      <w:r>
        <w:rPr/>
        <w:t xml:space="preserve">((</w:t>
      </w:r>
      <w:r>
        <w:rPr>
          <w:strike/>
        </w:rPr>
        <w:t xml:space="preserve">(3)</w:t>
      </w:r>
      <w:r>
        <w:rPr/>
        <w:t xml:space="preserve">)) </w:t>
      </w:r>
      <w:r>
        <w:rPr>
          <w:u w:val="single"/>
        </w:rPr>
        <w:t xml:space="preserve">(4)</w:t>
      </w:r>
      <w:r>
        <w:rPr/>
        <w:t xml:space="preserve"> "Department" means the department of revenue.</w:t>
      </w:r>
    </w:p>
    <w:p>
      <w:pPr>
        <w:ind w:left="0" w:right="0" w:firstLine="360"/>
        <w:jc w:val="both"/>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ind w:left="0" w:right="0" w:firstLine="360"/>
        <w:jc w:val="both"/>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ind w:left="0" w:right="0" w:firstLine="360"/>
        <w:jc w:val="both"/>
      </w:pPr>
      <w:r>
        <w:rPr/>
        <w:t xml:space="preserve">((</w:t>
      </w:r>
      <w:r>
        <w:rPr>
          <w:strike/>
        </w:rPr>
        <w:t xml:space="preserve">(6)</w:t>
      </w:r>
      <w:r>
        <w:rPr/>
        <w:t xml:space="preserve">)) </w:t>
      </w:r>
      <w:r>
        <w:rPr>
          <w:u w:val="single"/>
        </w:rPr>
        <w:t xml:space="preserve">(7)</w:t>
      </w:r>
      <w:r>
        <w:rPr/>
        <w:t xml:space="preserve"> "Person" has the meaning provided in RCW 82.04.030.</w:t>
      </w:r>
    </w:p>
    <w:p>
      <w:pPr>
        <w:ind w:left="0" w:right="0" w:firstLine="360"/>
        <w:jc w:val="both"/>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w:t>
      </w:r>
      <w:r>
        <w:rPr>
          <w:strike/>
        </w:rPr>
        <w:t xml:space="preserve">(8)</w:t>
      </w:r>
      <w:r>
        <w:rPr/>
        <w:t xml:space="preserve">)) </w:t>
      </w:r>
      <w:r>
        <w:rPr>
          <w:u w:val="single"/>
        </w:rPr>
        <w:t xml:space="preserve">(9) "Tank car" means a rail car, the body of which consists of a tank for transporting liquids.</w:t>
      </w:r>
    </w:p>
    <w:p>
      <w:pPr>
        <w:ind w:left="0" w:right="0" w:firstLine="360"/>
        <w:jc w:val="both"/>
      </w:pP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ind w:left="0" w:right="0" w:firstLine="360"/>
        <w:jc w:val="both"/>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ind w:left="0" w:right="0" w:firstLine="360"/>
        <w:jc w:val="both"/>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gravity of the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The information published by the department must be aggregated on a statewide basis and may include other information available to the department including, but not limited to, place of origin, modes of transport, number of railroad cars delivering crude oil, and number and volume of spills during transport and delivery. The department must publish routes to facilities within the state, but may not include specific information about volume or gravity of oil, as measured by the standards developed by the American petroleum institute transported to any particular facility along the routes.</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 </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of this section do not apply to any enrolled vessels.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ind w:left="0" w:right="0" w:firstLine="360"/>
        <w:jc w:val="both"/>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ind w:left="0" w:right="0" w:firstLine="360"/>
        <w:jc w:val="both"/>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adopt rules establishing criteria for inspection of private crossings and governing safety standards for private crossings along the railroad tracks over which crude oil is transported in the state, including, but not limited to, requirements for signage.</w:t>
      </w:r>
    </w:p>
    <w:p>
      <w:pPr>
        <w:ind w:left="0" w:right="0" w:firstLine="360"/>
        <w:jc w:val="both"/>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Columbia river harbor safety committees, maritime fire safety associations, the United States coast guard, Columbia river public ports in Oregon and Washington, and Columbia river pilots.</w:t>
      </w:r>
    </w:p>
    <w:p>
      <w:pPr>
        <w:ind w:left="0" w:right="0" w:firstLine="360"/>
        <w:jc w:val="both"/>
      </w:pPr>
      <w:r>
        <w:rPr/>
        <w:t xml:space="preserve">(b) The panel convened under (a) of this subsection must evaluate and assess vessel traffic management and vessel traffic safety within the Columbia river.</w:t>
      </w:r>
    </w:p>
    <w:p>
      <w:pPr>
        <w:ind w:left="0" w:right="0" w:firstLine="360"/>
        <w:jc w:val="both"/>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w:t>
      </w:r>
    </w:p>
    <w:p>
      <w:pPr>
        <w:ind w:left="0" w:right="0" w:firstLine="360"/>
        <w:jc w:val="both"/>
      </w:pPr>
      <w:r>
        <w:rPr/>
        <w:t xml:space="preserve">(3) By December 15, 2016, the department of ecology must provide to the appropriate committees of the legislature recommendations for vessel traffic management and vessel traffic safety on the Columbia river.</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for the purpose of administering the rail safety program</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individualized information shared as part of notices of transfer of crude oil that is financial, proprietary, or commercial information, submitted to the department of ecology pursuant to section 6 of this act, and in the possession of the department of ecology or any entity with which the department of ecology has shared it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cooperative prevention and emergency response activities between shared international and state borders; expected risks posed by transport of Canadian crude oil or liquid bulk crude oil throughout the Pacific Northwest region; and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ind w:left="0" w:right="0" w:firstLine="360"/>
        <w:jc w:val="both"/>
      </w:pPr>
      <w:r>
        <w:rPr>
          <w:u w:val="single"/>
        </w:rPr>
        <w:t xml:space="preserve">EFFECT:</w:t>
      </w:r>
      <w:r>
        <w:rPr/>
        <w:t xml:space="preserve"> Makes the following changes to the striking amendment adopted by the house of representatives appropriations Committee:</w:t>
      </w:r>
    </w:p>
    <w:p>
      <w:pPr>
        <w:ind w:left="0" w:right="0" w:firstLine="360"/>
        <w:jc w:val="both"/>
      </w:pPr>
      <w:r>
        <w:rPr/>
        <w:t xml:space="preserve">(1) Eliminates certificate of financial responsibility requirements for railroads and eliminates changes to existing financial responsibility requirements to railroads and vessels.</w:t>
      </w:r>
    </w:p>
    <w:p>
      <w:pPr>
        <w:ind w:left="0" w:right="0" w:firstLine="360"/>
        <w:jc w:val="both"/>
      </w:pPr>
      <w:r>
        <w:rPr/>
        <w:t xml:space="preserve">(2) Requires railroad companies to provide information relating to the ability to pay for damages in the event of an accident or oil spill in the annual reports submitted by railroads to the utilities and transportation commission (UTC).</w:t>
      </w:r>
    </w:p>
    <w:p>
      <w:pPr>
        <w:ind w:left="0" w:right="0" w:firstLine="360"/>
        <w:jc w:val="both"/>
      </w:pPr>
      <w:r>
        <w:rPr/>
        <w:t xml:space="preserve">(3) Eliminates provisions requiring a minimum crew size on trains operated by common carriers and trains hauling hazardous materials.</w:t>
      </w:r>
    </w:p>
    <w:p>
      <w:pPr>
        <w:ind w:left="0" w:right="0" w:firstLine="360"/>
        <w:jc w:val="both"/>
      </w:pPr>
      <w:r>
        <w:rPr/>
        <w:t xml:space="preserve">(4) Eliminates requirements that facilities disclose information about the type of oil received from railroads.</w:t>
      </w:r>
    </w:p>
    <w:p>
      <w:pPr>
        <w:ind w:left="0" w:right="0" w:firstLine="360"/>
        <w:jc w:val="both"/>
      </w:pPr>
      <w:r>
        <w:rPr/>
        <w:t xml:space="preserve">(5) Directs the department of ecology to publish information about the routes of railroad cars delivering crude oil to facilities in the state, but prohibits disclosure of information about the volume or gravity of oil transported to particular facilities along the routes.</w:t>
      </w:r>
    </w:p>
    <w:p>
      <w:pPr>
        <w:ind w:left="0" w:right="0" w:firstLine="360"/>
        <w:jc w:val="both"/>
      </w:pPr>
      <w:r>
        <w:rPr/>
        <w:t xml:space="preserve">(6) Eliminates requirements that pipelines disclose information to the department of ecology regarding the volumes, types, and diluting agents in oil they transport.</w:t>
      </w:r>
    </w:p>
    <w:p>
      <w:pPr>
        <w:ind w:left="0" w:right="0" w:firstLine="360"/>
        <w:jc w:val="both"/>
      </w:pPr>
      <w:r>
        <w:rPr/>
        <w:t xml:space="preserve">(7) Eliminates requirements that facilities submit twice-yearly corrections to the department of ecology regarding substantial differences between the information reported in weekly advance notices and the actual receipts of crude oil by the facility.</w:t>
      </w:r>
    </w:p>
    <w:p>
      <w:pPr>
        <w:ind w:left="0" w:right="0" w:firstLine="360"/>
        <w:jc w:val="both"/>
      </w:pPr>
      <w:r>
        <w:rPr/>
        <w:t xml:space="preserve">(8) Removes direction to the board of pilotage commissioners to adopt tug escort or other marine safety rules for the narrow channels of the San Juan Islands.</w:t>
      </w:r>
    </w:p>
    <w:p>
      <w:pPr>
        <w:ind w:left="0" w:right="0" w:firstLine="360"/>
        <w:jc w:val="both"/>
      </w:pPr>
      <w:r>
        <w:rPr/>
        <w:t xml:space="preserve">(9) Eliminates authority for the UTC to adopt rules on railroad responsibilities to ensure private rail crossings.</w:t>
      </w:r>
    </w:p>
    <w:p>
      <w:pPr>
        <w:ind w:left="0" w:right="0" w:firstLine="360"/>
        <w:jc w:val="both"/>
      </w:pPr>
      <w:r>
        <w:rPr/>
        <w:t xml:space="preserve">(10) Removes the uses of the oil spill administration account for oil and hazardous materials emergency response planning by local emergency response committees.</w:t>
      </w:r>
    </w:p>
    <w:p>
      <w:pPr>
        <w:ind w:left="0" w:right="0" w:firstLine="360"/>
        <w:jc w:val="both"/>
      </w:pPr>
      <w:r>
        <w:rPr/>
        <w:t xml:space="preserve">(11) Requires local emergency planning organizations to update their hazardous material plans on a five-year cycle.</w:t>
      </w:r>
    </w:p>
    <w:p>
      <w:pPr>
        <w:ind w:left="0" w:right="0" w:firstLine="360"/>
        <w:jc w:val="both"/>
      </w:pPr>
      <w:r>
        <w:rPr/>
        <w:t xml:space="preserve">(12) Eliminates changes to the uses of the oil spill response account for spills or threatened spills of at least $1,000 rather than at least $50,000, and for emergency response vessel use other than the rescue tug stationed at Neah Bay.</w:t>
      </w:r>
    </w:p>
    <w:p>
      <w:pPr>
        <w:ind w:left="0" w:right="0" w:firstLine="360"/>
        <w:jc w:val="both"/>
      </w:pPr>
      <w:r>
        <w:rPr/>
        <w:t xml:space="preserve">(13) Revises the application of the oil spill administration tax to include railroads and vessels but exclude pipelines and retains the original tax at 4 cents per barrel.</w:t>
      </w:r>
    </w:p>
    <w:p>
      <w:pPr>
        <w:ind w:left="0" w:right="0" w:firstLine="360"/>
        <w:jc w:val="both"/>
      </w:pPr>
      <w:r>
        <w:rPr/>
        <w:t xml:space="preserve">(14) Restores the original definition of crude oil subject to the oil spill administration tax and the oil spill response tax.</w:t>
      </w:r>
    </w:p>
    <w:p>
      <w:pPr>
        <w:ind w:left="0" w:right="0" w:firstLine="360"/>
        <w:jc w:val="both"/>
      </w:pPr>
      <w:r>
        <w:rPr/>
        <w:t xml:space="preserve">(15) Removes the emergency clause that applied to all sections of the bill except the oil spill administration and response tax provisions, allowing the bill to instead take effect 90 days after the end of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77cfd93f14449" /></Relationships>
</file>