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7183774734c39" /></Relationships>
</file>

<file path=word/document.xml><?xml version="1.0" encoding="utf-8"?>
<w:document xmlns:w="http://schemas.openxmlformats.org/wordprocessingml/2006/main">
  <w:body>
    <w:p>
      <w:r>
        <w:rPr>
          <w:b/>
        </w:rPr>
        <w:r>
          <w:rPr/>
          <w:t xml:space="preserve">5177-S2.E</w:t>
        </w:r>
      </w:r>
      <w:r>
        <w:rPr>
          <w:b/>
        </w:rPr>
        <w:t xml:space="preserve"> </w:t>
        <w:t xml:space="preserve">AMH</w:t>
      </w:r>
      <w:r>
        <w:rPr>
          <w:b/>
        </w:rPr>
        <w:t xml:space="preserve"> </w:t>
        <w:r>
          <w:rPr/>
          <w:t xml:space="preserve">JUDI</w:t>
        </w:r>
      </w:r>
      <w:r>
        <w:rPr>
          <w:b/>
        </w:rPr>
        <w:t xml:space="preserve"> </w:t>
        <w:r>
          <w:rPr/>
          <w:t xml:space="preserve">H2506.3</w:t>
        </w:r>
      </w:r>
      <w:r>
        <w:rPr>
          <w:b/>
        </w:rPr>
        <w:t xml:space="preserve"> - NOT FOR FLOOR USE</w:t>
      </w:r>
    </w:p>
    <w:p>
      <w:pPr>
        <w:spacing w:before="480" w:after="0" w:line="408" w:lineRule="exact"/>
      </w:pPr>
      <w:r>
        <w:rPr>
          <w:b/>
          <w:u w:val="single"/>
        </w:rPr>
        <w:t xml:space="preserve">E2SSB 5177</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no alternatives to competency restoration provided in the state hospitals and there is insufficient capacity within the state hospitals to meet the projected service needs of the state.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ind w:left="0" w:right="0" w:firstLine="360"/>
        <w:jc w:val="both"/>
      </w:pPr>
      <w:r>
        <w:rPr/>
        <w:t xml:space="preserve">(2) The department shall work with counties and the courts to develop a screening process to determine which individuals are safe to receive competency restoration treatment outside the state hospitals. The department also must develop a plan to sufficiently increase capacity to meet the projected ten-year need for both forensic and civil mental health bed demand.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ind w:left="0" w:right="0" w:firstLine="360"/>
        <w:jc w:val="both"/>
      </w:pPr>
      <w:r>
        <w:rPr/>
        <w:t xml:space="preserve">(1)(a) If at any time during the pendency of an action and prior to judgment the court finds, following a report as provided in RCW 10.77.060, a defendant is incompetent </w:t>
      </w:r>
      <w:r>
        <w:rPr>
          <w:u w:val="single"/>
        </w:rPr>
        <w:t xml:space="preserve">to stand trial</w:t>
      </w:r>
      <w:r>
        <w:rPr/>
        <w:t xml:space="preserve">, the court shall order the proceedings against the defendant be stayed except as provided in subsection (4) of this section.</w:t>
      </w:r>
    </w:p>
    <w:p>
      <w:pPr>
        <w:ind w:left="0" w:right="0" w:firstLine="360"/>
        <w:jc w:val="both"/>
      </w:pPr>
      <w:r>
        <w:rPr/>
        <w:t xml:space="preserve">(b) </w:t>
      </w:r>
      <w:r>
        <w:rPr>
          <w:u w:val="single"/>
        </w:rPr>
        <w:t xml:space="preserve">The court may order a defendant who has been found to be incompetent to stand trial to undergo competency restoration treatment at a facility designated by the department if the defendant is eligible under RCW 10.77.086 or 10.77.088.</w:t>
      </w:r>
      <w:r>
        <w:rPr/>
        <w:t xml:space="preserve"> At the end of </w:t>
      </w:r>
      <w:r>
        <w:t>((</w:t>
      </w:r>
      <w:r>
        <w:rPr>
          <w:strike/>
        </w:rPr>
        <w:t xml:space="preserve">the mental health treatment and</w:t>
      </w:r>
      <w:r>
        <w:t>))</w:t>
      </w:r>
      <w:r>
        <w:rPr/>
        <w:t xml:space="preserve"> </w:t>
      </w:r>
      <w:r>
        <w:rPr>
          <w:u w:val="single"/>
        </w:rPr>
        <w:t xml:space="preserve">each competency</w:t>
      </w:r>
      <w:r>
        <w:rPr/>
        <w:t xml:space="preserve"> restoration period</w:t>
      </w:r>
      <w:r>
        <w:t>((</w:t>
      </w:r>
      <w:r>
        <w:rPr>
          <w:strike/>
        </w:rPr>
        <w:t xml:space="preserve">, if any,</w:t>
      </w:r>
      <w:r>
        <w:t>))</w:t>
      </w:r>
      <w:r>
        <w:rPr/>
        <w:t xml:space="preserve"> or at any time a professional person determines competency has been, or is unlikely to be, restored, the </w:t>
      </w:r>
      <w:r>
        <w:rPr>
          <w:u w:val="single"/>
        </w:rPr>
        <w:t xml:space="preserve">facility shall return the</w:t>
      </w:r>
      <w:r>
        <w:rPr/>
        <w:t xml:space="preserve"> defendant </w:t>
      </w:r>
      <w:r>
        <w:t>((</w:t>
      </w:r>
      <w:r>
        <w:rPr>
          <w:strike/>
        </w:rPr>
        <w:t xml:space="preserve">shall be returned</w:t>
      </w:r>
      <w:r>
        <w:t>))</w:t>
      </w:r>
      <w:r>
        <w:rPr/>
        <w:t xml:space="preserve"> to court for a hearing</w:t>
      </w:r>
      <w:r>
        <w:t>((</w:t>
      </w:r>
      <w:r>
        <w:rPr>
          <w:strike/>
        </w:rPr>
        <w:t xml:space="preserve">.</w:t>
      </w:r>
      <w:r>
        <w:t>))</w:t>
      </w:r>
      <w:r>
        <w:rPr>
          <w:u w:val="single"/>
        </w:rPr>
        <w:t xml:space="preserve">, except that if the opinion of the professional person is that the defendant remains incompetent and the hearing is held before the expiration of the current competency restoration period, t</w:t>
      </w:r>
      <w:r>
        <w:rPr/>
        <w:t xml:space="preserve">he parties may agree to waive the defendant's presence </w:t>
      </w:r>
      <w:r>
        <w:t>((</w:t>
      </w:r>
      <w:r>
        <w:rPr>
          <w:strike/>
        </w:rPr>
        <w:t xml:space="preserve">or</w:t>
      </w:r>
      <w:r>
        <w:t>))</w:t>
      </w:r>
      <w:r>
        <w:rPr>
          <w:u w:val="single"/>
        </w:rPr>
        <w:t xml:space="preserve">,</w:t>
      </w:r>
      <w:r>
        <w:rPr/>
        <w:t xml:space="preserve"> to remote participation by the defendant at a hearing</w:t>
      </w:r>
      <w:r>
        <w:rPr>
          <w:u w:val="single"/>
        </w:rPr>
        <w:t xml:space="preserve">,</w:t>
      </w:r>
      <w:r>
        <w:rPr/>
        <w:t xml:space="preserve"> or </w:t>
      </w:r>
      <w:r>
        <w:rPr>
          <w:u w:val="single"/>
        </w:rPr>
        <w:t xml:space="preserve">to</w:t>
      </w:r>
      <w:r>
        <w:rPr/>
        <w:t xml:space="preserve"> presentation of an agreed order </w:t>
      </w:r>
      <w:r>
        <w:t>((</w:t>
      </w:r>
      <w:r>
        <w:rPr>
          <w:strike/>
        </w:rPr>
        <w:t xml:space="preserve">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w:t>
      </w:r>
      <w:r>
        <w:t>))</w:t>
      </w:r>
      <w:r>
        <w:rPr/>
        <w:t xml:space="preserve"> </w:t>
      </w:r>
      <w:r>
        <w:rPr>
          <w:u w:val="single"/>
        </w:rPr>
        <w:t xml:space="preserve">in lieu of a hearing. T</w:t>
      </w:r>
      <w:r>
        <w:rPr/>
        <w:t xml:space="preserve">he </w:t>
      </w:r>
      <w:r>
        <w:t>((</w:t>
      </w:r>
      <w:r>
        <w:rPr>
          <w:strike/>
        </w:rPr>
        <w:t xml:space="preserve">department</w:t>
      </w:r>
      <w:r>
        <w:t>))</w:t>
      </w:r>
      <w:r>
        <w:rPr/>
        <w:t xml:space="preserve"> </w:t>
      </w:r>
      <w:r>
        <w:rPr>
          <w:u w:val="single"/>
        </w:rPr>
        <w:t xml:space="preserve">facility</w:t>
      </w:r>
      <w:r>
        <w:rPr/>
        <w:t xml:space="preserve"> shall promptly notify the court and </w:t>
      </w:r>
      <w:r>
        <w:rPr>
          <w:u w:val="single"/>
        </w:rPr>
        <w:t xml:space="preserve">all</w:t>
      </w:r>
      <w:r>
        <w:rPr/>
        <w:t xml:space="preserve"> parties of the date </w:t>
      </w:r>
      <w:r>
        <w:t>((</w:t>
      </w:r>
      <w:r>
        <w:rPr>
          <w:strike/>
        </w:rPr>
        <w:t xml:space="preserve">of the defendant's admission and expiration of commitment</w:t>
      </w:r>
      <w:r>
        <w:t>))</w:t>
      </w:r>
      <w:r>
        <w:rPr/>
        <w:t xml:space="preserve"> </w:t>
      </w:r>
      <w:r>
        <w:rPr>
          <w:u w:val="single"/>
        </w:rPr>
        <w:t xml:space="preserve">on which the competency restoration period commences and expires</w:t>
      </w:r>
      <w:r>
        <w:rPr/>
        <w:t xml:space="preserve"> so that a timely hearing date may be scheduled.</w:t>
      </w:r>
    </w:p>
    <w:p>
      <w:pPr>
        <w:ind w:left="0" w:right="0" w:firstLine="360"/>
        <w:jc w:val="both"/>
      </w:pPr>
      <w:r>
        <w:rPr>
          <w:u w:val="single"/>
        </w:rPr>
        <w:t xml:space="preserve">(c)</w:t>
      </w:r>
      <w:r>
        <w:rPr/>
        <w:t xml:space="preserve"> If, </w:t>
      </w:r>
      <w:r>
        <w:t>((</w:t>
      </w:r>
      <w:r>
        <w:rPr>
          <w:strike/>
        </w:rPr>
        <w:t xml:space="preserve">after</w:t>
      </w:r>
      <w:r>
        <w:t>))</w:t>
      </w:r>
      <w:r>
        <w:rPr/>
        <w:t xml:space="preserve"> </w:t>
      </w:r>
      <w:r>
        <w:rPr>
          <w:u w:val="single"/>
        </w:rPr>
        <w:t xml:space="preserve">following</w:t>
      </w:r>
      <w:r>
        <w:rPr/>
        <w:t xml:space="preserve"> notice and hearing</w:t>
      </w:r>
      <w:r>
        <w:t>((</w:t>
      </w:r>
      <w:r>
        <w:rPr>
          <w:strike/>
        </w:rPr>
        <w:t xml:space="preserve">,</w:t>
      </w:r>
      <w:r>
        <w:t>))</w:t>
      </w:r>
      <w:r>
        <w:rPr/>
        <w:t xml:space="preserve"> </w:t>
      </w:r>
      <w:r>
        <w:rPr>
          <w:u w:val="single"/>
        </w:rPr>
        <w:t xml:space="preserve">or entry of an agreed order under (b) of this subsection, the court finds that</w:t>
      </w:r>
      <w:r>
        <w:rPr/>
        <w:t xml:space="preserve"> competency has been restored, </w:t>
      </w:r>
      <w:r>
        <w:rPr>
          <w:u w:val="single"/>
        </w:rPr>
        <w:t xml:space="preserve">the court shall lift</w:t>
      </w:r>
      <w:r>
        <w:rPr/>
        <w:t xml:space="preserve"> the stay entered under (a) of this subsection </w:t>
      </w:r>
      <w:r>
        <w:t>((</w:t>
      </w:r>
      <w:r>
        <w:rPr>
          <w:strike/>
        </w:rPr>
        <w:t xml:space="preserve">shall be lifted</w:t>
      </w:r>
      <w:r>
        <w:t>))</w:t>
      </w:r>
      <w:r>
        <w:rPr/>
        <w:t xml:space="preserve">. If </w:t>
      </w:r>
      <w:r>
        <w:rPr>
          <w:u w:val="single"/>
        </w:rPr>
        <w:t xml:space="preserve">the court finds that</w:t>
      </w:r>
      <w:r>
        <w:rPr/>
        <w:t xml:space="preserve"> competency has not been restored, the </w:t>
      </w:r>
      <w:r>
        <w:rPr>
          <w:u w:val="single"/>
        </w:rPr>
        <w:t xml:space="preserve">court shall dismiss the</w:t>
      </w:r>
      <w:r>
        <w:rPr/>
        <w:t xml:space="preserve"> proceedings </w:t>
      </w:r>
      <w:r>
        <w:t>((</w:t>
      </w:r>
      <w:r>
        <w:rPr>
          <w:strike/>
        </w:rPr>
        <w:t xml:space="preserve">shall be dismissed</w:t>
      </w:r>
      <w:r>
        <w:t>))</w:t>
      </w:r>
      <w:r>
        <w:rPr/>
        <w:t xml:space="preserve"> without prejudice</w:t>
      </w:r>
      <w:r>
        <w:t>((</w:t>
      </w:r>
      <w:r>
        <w:rPr>
          <w:strike/>
        </w:rPr>
        <w:t xml:space="preserve">. If the court concludes that competency has not been restored, but</w:t>
      </w:r>
      <w:r>
        <w:t>))</w:t>
      </w:r>
      <w:r>
        <w:rPr>
          <w:u w:val="single"/>
        </w:rPr>
        <w:t xml:space="preserve">, except that the court may order a further period of competency restoration treatment if it finds</w:t>
      </w:r>
      <w:r>
        <w:rPr/>
        <w:t xml:space="preserve"> that further treatment within the time limits established by RCW 10.77.086 or 10.77.088 is likely to restore competency, </w:t>
      </w:r>
      <w:r>
        <w:t>((</w:t>
      </w:r>
      <w:r>
        <w:rPr>
          <w:strike/>
        </w:rPr>
        <w:t xml:space="preserve">the court may order that treatment for purposes of competency restoration be continued. Such treatment may not extend beyond the combination of time provided for in</w:t>
      </w:r>
      <w:r>
        <w:t>))</w:t>
      </w:r>
      <w:r>
        <w:rPr/>
        <w:t xml:space="preserve"> </w:t>
      </w:r>
      <w:r>
        <w:rPr>
          <w:u w:val="single"/>
        </w:rPr>
        <w:t xml:space="preserve">and a further period of treatment is allowed under</w:t>
      </w:r>
      <w:r>
        <w:rPr/>
        <w:t xml:space="preserve"> RCW 10.77.086 or 10.77.088.</w:t>
      </w:r>
    </w:p>
    <w:p>
      <w:pPr>
        <w:ind w:left="0" w:right="0" w:firstLine="360"/>
        <w:jc w:val="both"/>
      </w:pPr>
      <w:r>
        <w:t>((</w:t>
      </w:r>
      <w:r>
        <w:rPr>
          <w:strike/>
        </w:rPr>
        <w:t xml:space="preserve">(c)</w:t>
      </w:r>
      <w:r>
        <w:t>))</w:t>
      </w:r>
      <w:r>
        <w:rPr/>
        <w:t xml:space="preserve"> </w:t>
      </w:r>
      <w:r>
        <w:rPr>
          <w:u w:val="single"/>
        </w:rPr>
        <w:t xml:space="preserve">(d)</w:t>
      </w:r>
      <w:r>
        <w:rPr/>
        <w:t xml:space="preserve"> If at any time during the proceeding the court finds, following notice and hearing, a defendant is not likely to regain competency, </w:t>
      </w:r>
      <w:r>
        <w:rPr>
          <w:u w:val="single"/>
        </w:rPr>
        <w:t xml:space="preserve">the court shall dismiss</w:t>
      </w:r>
      <w:r>
        <w:rPr/>
        <w:t xml:space="preserve"> the proceedings </w:t>
      </w:r>
      <w:r>
        <w:t>((</w:t>
      </w:r>
      <w:r>
        <w:rPr>
          <w:strike/>
        </w:rPr>
        <w:t xml:space="preserve">shall be dismissed</w:t>
      </w:r>
      <w:r>
        <w:t>))</w:t>
      </w:r>
      <w:r>
        <w:rPr/>
        <w:t xml:space="preserve"> without prejudice and </w:t>
      </w:r>
      <w:r>
        <w:rPr>
          <w:u w:val="single"/>
        </w:rPr>
        <w:t xml:space="preserve">refer</w:t>
      </w:r>
      <w:r>
        <w:rPr/>
        <w:t xml:space="preserve"> the defendant </w:t>
      </w:r>
      <w:r>
        <w:t>((</w:t>
      </w:r>
      <w:r>
        <w:rPr>
          <w:strike/>
        </w:rPr>
        <w:t xml:space="preserve">shall be evaluated</w:t>
      </w:r>
      <w:r>
        <w:t>))</w:t>
      </w:r>
      <w:r>
        <w:rPr/>
        <w:t xml:space="preserve"> for civil commitment </w:t>
      </w:r>
      <w:r>
        <w:rPr>
          <w:u w:val="single"/>
        </w:rPr>
        <w:t xml:space="preserve">evaluation or</w:t>
      </w:r>
      <w:r>
        <w:rPr/>
        <w:t xml:space="preserve"> proceedings </w:t>
      </w:r>
      <w:r>
        <w:rPr>
          <w:u w:val="single"/>
        </w:rPr>
        <w:t xml:space="preserve">if appropriate under RCW 10.77.065, 10.77.086, or 10.77.088</w:t>
      </w:r>
      <w:r>
        <w:rPr/>
        <w:t xml:space="preserve">.</w:t>
      </w:r>
    </w:p>
    <w:p>
      <w:pPr>
        <w:ind w:left="0" w:right="0" w:firstLine="360"/>
        <w:jc w:val="both"/>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ind w:left="0" w:right="0" w:firstLine="360"/>
        <w:jc w:val="both"/>
      </w:pPr>
      <w:r>
        <w:rPr/>
        <w:t xml:space="preserve">(3) The fact that the defendant is unfit to proceed does not preclude any pretrial proceedings which do not require the personal participation of the defendant.</w:t>
      </w:r>
    </w:p>
    <w:p>
      <w:pPr>
        <w:ind w:left="0" w:right="0" w:firstLine="360"/>
        <w:jc w:val="both"/>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ind w:left="0" w:right="0" w:firstLine="360"/>
        <w:jc w:val="both"/>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ind w:left="0" w:right="0" w:firstLine="360"/>
        <w:jc w:val="both"/>
      </w:pPr>
      <w:r>
        <w:rPr/>
        <w:t xml:space="preserve">(1)(a)</w:t>
      </w:r>
      <w:r>
        <w:rPr>
          <w:u w:val="single"/>
        </w:rPr>
        <w:t xml:space="preserve">(i)</w:t>
      </w:r>
      <w:r>
        <w:rPr/>
        <w:t xml:space="preserve">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ind w:left="0" w:right="0" w:firstLine="360"/>
        <w:jc w:val="both"/>
      </w:pPr>
      <w:r>
        <w:t>((</w:t>
      </w:r>
      <w:r>
        <w:rPr>
          <w:strike/>
        </w:rPr>
        <w:t xml:space="preserve">(i)</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ind w:left="0" w:right="0" w:firstLine="360"/>
        <w:jc w:val="both"/>
      </w:pPr>
      <w:r>
        <w:t>((</w:t>
      </w:r>
      <w:r>
        <w:rPr>
          <w:strike/>
        </w:rPr>
        <w:t xml:space="preserve">(ii)</w:t>
      </w:r>
      <w:r>
        <w:t>))</w:t>
      </w:r>
      <w:r>
        <w:rPr/>
        <w:t xml:space="preserve"> </w:t>
      </w:r>
      <w:r>
        <w:rPr>
          <w:u w:val="single"/>
        </w:rPr>
        <w:t xml:space="preserve">(B)</w:t>
      </w:r>
      <w:r>
        <w:rPr/>
        <w:t xml:space="preserve">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the model of restoration treatment services must be substantially equivalent to that provided at the state hospitals, and restoration treatment services must be provided as much as possible within a therapeutic environment and performed by staff and professionals who have the skills and qualifications necessary to provide restoration treatment services comparable to those provided at a state hospital.</w:t>
      </w:r>
    </w:p>
    <w:p>
      <w:pPr>
        <w:ind w:left="0" w:right="0" w:firstLine="360"/>
        <w:jc w:val="both"/>
      </w:pPr>
      <w:r>
        <w:rPr>
          <w:u w:val="single"/>
        </w:rPr>
        <w:t xml:space="preserve">(ii) The ninety day period for evaluation and treatment under this subsection (1) includes only the time the defendant is actually at the facility and is in addition to reasonable time for transport to or from the facility.</w:t>
      </w:r>
    </w:p>
    <w:p>
      <w:pPr>
        <w:ind w:left="0" w:right="0" w:firstLine="360"/>
        <w:jc w:val="both"/>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ind w:left="0" w:right="0" w:firstLine="360"/>
        <w:jc w:val="both"/>
      </w:pPr>
      <w:r>
        <w:rPr>
          <w:u w:val="single"/>
        </w:rPr>
        <w:t xml:space="preserve">(c) If the court determines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ind w:left="0" w:right="0" w:firstLine="360"/>
        <w:jc w:val="both"/>
      </w:pPr>
      <w:r>
        <w:rPr/>
        <w:t xml:space="preserve">(2) On or before expiration of the initial period of commitment under subsection (1) of this section the court shall conduct a hearing, at which it shall determine whether or not the defendant is incompetent.</w:t>
      </w:r>
    </w:p>
    <w:p>
      <w:pPr>
        <w:ind w:left="0" w:right="0" w:firstLine="360"/>
        <w:jc w:val="both"/>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ind w:left="0" w:right="0" w:firstLine="360"/>
        <w:jc w:val="both"/>
      </w:pPr>
      <w:r>
        <w:rPr/>
        <w:t xml:space="preserve">(4) For persons charged with a felony, at the hearing upon the expiration of the second restoration period</w:t>
      </w:r>
      <w:r>
        <w:rPr>
          <w:u w:val="single"/>
        </w:rPr>
        <w:t xml:space="preserve">,</w:t>
      </w:r>
      <w:r>
        <w:rPr/>
        <w:t xml:space="preserve"> or at the end of the first restoration period</w:t>
      </w:r>
      <w:r>
        <w:t>((</w:t>
      </w:r>
      <w:r>
        <w:rPr>
          <w:strike/>
        </w:rPr>
        <w:t xml:space="preserve">,</w:t>
      </w:r>
      <w:r>
        <w:t>))</w:t>
      </w:r>
      <w:r>
        <w:rPr/>
        <w:t xml:space="preserve"> in the case of a defendant with a developmental disability, if the jury or court finds that the defendant is incompetent, </w:t>
      </w:r>
      <w:r>
        <w:rPr>
          <w:u w:val="single"/>
        </w:rPr>
        <w:t xml:space="preserve">or if the court or jury at any stage finds that the defendant is incompetent and the court determines that the defendant is unlikely to regain competency,</w:t>
      </w:r>
      <w:r>
        <w:rPr/>
        <w:t xml:space="preserve">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ind w:left="0" w:right="0" w:firstLine="360"/>
        <w:jc w:val="both"/>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ind w:left="0" w:right="0" w:firstLine="360"/>
        <w:jc w:val="both"/>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ind w:left="0" w:right="0" w:firstLine="360"/>
        <w:jc w:val="both"/>
      </w:pPr>
      <w:r>
        <w:rPr>
          <w:u w:val="single"/>
        </w:rPr>
        <w:t xml:space="preserve">(ii)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cities or counties to provide competency restoration services in a city or county jail if the city or county jail is willing and able to serve as a location for competency restoration services and</w:t>
      </w:r>
      <w:r>
        <w:rPr>
          <w:u w:val="single"/>
        </w:rPr>
        <w:t xml:space="preserve">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the model of restoration treatment services must be substantially equivalent to that provided at the state hospitals, and restoration treatment services must be provided as much as possible within a therapeutic environment and performed by staff and professionals who have the skills and qualifications necessary to provide restoration treatment services comparable to those provided at a state hospital.</w:t>
      </w:r>
      <w:r>
        <w:rPr/>
        <w:t xml:space="preserve"> 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ind w:left="0" w:right="0" w:firstLine="360"/>
        <w:jc w:val="both"/>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ind w:left="0" w:right="0" w:firstLine="360"/>
        <w:jc w:val="both"/>
      </w:pPr>
      <w:r>
        <w:t>((</w:t>
      </w:r>
      <w:r>
        <w:rPr>
          <w:strike/>
        </w:rPr>
        <w:t xml:space="preserve">(iii)</w:t>
      </w:r>
      <w:r>
        <w:t>))</w:t>
      </w:r>
      <w:r>
        <w:rPr/>
        <w:t xml:space="preserve"> </w:t>
      </w:r>
      <w:r>
        <w:rPr>
          <w:u w:val="single"/>
        </w:rPr>
        <w:t xml:space="preserve">(iv) May order a</w:t>
      </w:r>
      <w:r>
        <w:rPr/>
        <w:t xml:space="preserve">ny combination of this subsection.</w:t>
      </w:r>
    </w:p>
    <w:p>
      <w:pPr>
        <w:ind w:left="0" w:right="0" w:firstLine="360"/>
        <w:jc w:val="both"/>
      </w:pPr>
      <w:r>
        <w:rPr/>
        <w:t xml:space="preserve">(b) </w:t>
      </w:r>
      <w:r>
        <w:rPr>
          <w:u w:val="single"/>
        </w:rPr>
        <w:t xml:space="preserve">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ind w:left="0" w:right="0" w:firstLine="360"/>
        <w:jc w:val="both"/>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ind w:left="0" w:right="0" w:firstLine="360"/>
        <w:jc w:val="both"/>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ind w:left="0" w:right="0" w:firstLine="360"/>
        <w:jc w:val="both"/>
      </w:pPr>
      <w:r>
        <w:rPr/>
        <w:t xml:space="preserve">(2) If the defendant is charged with a nonfelony crime that is not a serious offense as defined in RCW 10.77.092:</w:t>
      </w:r>
    </w:p>
    <w:p>
      <w:pPr>
        <w:ind w:left="0" w:right="0" w:firstLine="360"/>
        <w:jc w:val="both"/>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ind w:left="0" w:right="0" w:firstLine="360"/>
        <w:jc w:val="both"/>
      </w:pPr>
      <w:r>
        <w:rPr/>
        <w:t xml:space="preserve">(1) </w:t>
      </w:r>
      <w:r>
        <w:rPr>
          <w:u w:val="single"/>
        </w:rPr>
        <w:t xml:space="preserve">The department shall reimburse a county for the cost of appointing a qualified expert or professional person under RCW 10.77.060(1)(a) subject to subsections (2) through (4) of this section i</w:t>
      </w:r>
      <w:r>
        <w:rPr/>
        <w:t xml:space="preserve">f, at the time of a referral for an evaluation of competency to stand trial in a jail for an in-custody defendant, the department </w:t>
      </w:r>
      <w:r>
        <w:t>((</w:t>
      </w:r>
      <w:r>
        <w:rPr>
          <w:strike/>
        </w:rPr>
        <w:t xml:space="preserve">has not met</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 not 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ind w:left="0" w:right="0" w:firstLine="360"/>
        <w:jc w:val="both"/>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ind w:left="0" w:right="0" w:firstLine="360"/>
        <w:jc w:val="both"/>
      </w:pPr>
      <w:r>
        <w:rPr/>
        <w:t xml:space="preserve">(3) The county shall provide a copy of the evaluation report to the applicable state hospital upon referral of the defendant for admission to the state hospital. The county shall</w:t>
      </w:r>
      <w:r>
        <w:rPr>
          <w:u w:val="single"/>
        </w:rPr>
        <w:t xml:space="preserve">:</w:t>
      </w:r>
    </w:p>
    <w:p>
      <w:pPr>
        <w:ind w:left="0" w:right="0" w:firstLine="360"/>
        <w:jc w:val="both"/>
      </w:pPr>
      <w:r>
        <w:rPr>
          <w:u w:val="single"/>
        </w:rPr>
        <w:t xml:space="preserve">(a) In consultation with the department, develop and</w:t>
      </w:r>
      <w:r>
        <w:rPr/>
        <w:t xml:space="preserve"> maintain </w:t>
      </w:r>
      <w:r>
        <w:rPr>
          <w:u w:val="single"/>
        </w:rPr>
        <w:t xml:space="preserve">critical data elements, including</w:t>
      </w:r>
      <w:r>
        <w:rPr/>
        <w:t xml:space="preserve"> data on the timeliness of competency evaluations completed under this section</w:t>
      </w:r>
      <w:r>
        <w:rPr>
          <w:u w:val="single"/>
        </w:rPr>
        <w:t xml:space="preserve">; and</w:t>
      </w:r>
    </w:p>
    <w:p>
      <w:pPr>
        <w:ind w:left="0" w:right="0" w:firstLine="360"/>
        <w:jc w:val="both"/>
      </w:pPr>
      <w:r>
        <w:rPr>
          <w:u w:val="single"/>
        </w:rPr>
        <w:t xml:space="preserve">(b) Share this data with the department upon the department's request</w:t>
      </w:r>
      <w:r>
        <w:rPr/>
        <w:t xml:space="preserve">.</w:t>
      </w:r>
    </w:p>
    <w:p>
      <w:pPr>
        <w:ind w:left="0" w:right="0" w:firstLine="360"/>
        <w:jc w:val="both"/>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ind w:left="0" w:right="0" w:firstLine="360"/>
        <w:jc w:val="both"/>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ind w:left="0" w:right="0" w:firstLine="360"/>
        <w:jc w:val="both"/>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2018</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ind w:left="0" w:right="0" w:firstLine="360"/>
        <w:jc w:val="both"/>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w:t>
      </w:r>
      <w:r>
        <w:rPr>
          <w:u w:val="single"/>
        </w:rPr>
        <w:t xml:space="preserve">and the secretary has given consideration to reasonable alternatives that would be effective to manage the behavior,</w:t>
      </w:r>
      <w:r>
        <w:rPr/>
        <w:t xml:space="preserve"> the secretary may place the person in any secure facility operated by the secretary or the secretary of the department of corrections. </w:t>
      </w:r>
      <w:r>
        <w:rPr>
          <w:u w:val="single"/>
        </w:rPr>
        <w:t xml:space="preserve">The secretary's written decision and reasoning must be documented in the patient's medical file.</w:t>
      </w:r>
      <w:r>
        <w:rPr/>
        <w:t xml:space="preserve">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ind w:left="0" w:right="0" w:firstLine="360"/>
        <w:jc w:val="both"/>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ind w:left="0" w:right="0" w:firstLine="360"/>
        <w:jc w:val="both"/>
      </w:pPr>
      <w:r>
        <w:t>((</w:t>
      </w:r>
      <w:r>
        <w:rPr>
          <w:strike/>
        </w:rPr>
        <w:t xml:space="preserve">(3) This section expires June 30, 2015.</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ind w:left="0" w:right="0" w:firstLine="360"/>
        <w:jc w:val="both"/>
      </w:pPr>
      <w:r>
        <w:rPr/>
        <w:t xml:space="preserve">No person </w:t>
      </w:r>
      <w:r>
        <w:rPr>
          <w:u w:val="single"/>
        </w:rPr>
        <w:t xml:space="preserve">who is criminally insane</w:t>
      </w:r>
      <w:r>
        <w:rPr/>
        <w:t xml:space="preserve"> confined pursuant to this chapter shall be incarcerated in a state correctional institution or facility</w:t>
      </w:r>
      <w:r>
        <w:t>((</w:t>
      </w:r>
      <w:r>
        <w:rPr>
          <w:strike/>
        </w:rPr>
        <w:t xml:space="preserve">: PROVIDED, That nothing herein shall prohibit</w:t>
      </w:r>
      <w:r>
        <w:t>))</w:t>
      </w:r>
      <w:r>
        <w:rPr>
          <w:u w:val="single"/>
        </w:rPr>
        <w:t xml:space="preserve">. This section does not apply to</w:t>
      </w:r>
      <w:r>
        <w:rPr/>
        <w:t xml:space="preserve">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If the defendant is charged with a nonfelony offense, and the issue of competency to stand trial is raised by the court or a party under RCW 10.77.060, the prosecutor may continue with the competency process or dismiss the charges without prejudice and refer the defendant for assessment by a mental health professional, chemical dependency professional, or developmental disabilities professional to determine the appropriate service needs for the defendant.</w:t>
      </w:r>
    </w:p>
    <w:p>
      <w:pPr>
        <w:ind w:left="0" w:right="0" w:firstLine="360"/>
        <w:jc w:val="both"/>
      </w:pPr>
      <w:r>
        <w:rPr/>
        <w:t xml:space="preserve">(2) This section does not apply to defendants with a current charge or prior conviction for a serious violent offense or sex offense as defined in RCW 9.94A.030.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ind w:left="0" w:right="0" w:firstLine="360"/>
        <w:jc w:val="both"/>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on at least the level of deputy assistant secretary within the department who shall, after a reasonable period of transition, have responsibility for the following functions:</w:t>
      </w:r>
    </w:p>
    <w:p>
      <w:pPr>
        <w:ind w:left="0" w:right="0" w:firstLine="360"/>
        <w:jc w:val="both"/>
      </w:pPr>
      <w:r>
        <w:rPr/>
        <w:t xml:space="preserve">(a) Operational control of all forensic evaluation services, including specific budget allocation;</w:t>
      </w:r>
    </w:p>
    <w:p>
      <w:pPr>
        <w:ind w:left="0" w:right="0" w:firstLine="360"/>
        <w:jc w:val="both"/>
      </w:pPr>
      <w:r>
        <w:rPr/>
        <w:t xml:space="preserve">(b) Responsibility for training forensic evaluators;</w:t>
      </w:r>
    </w:p>
    <w:p>
      <w:pPr>
        <w:ind w:left="0" w:right="0" w:firstLine="360"/>
        <w:jc w:val="both"/>
      </w:pPr>
      <w:r>
        <w:rPr/>
        <w:t xml:space="preserve">(c) Development of a system to certify forensic evaluators, and to monitor the quality of forensic evaluation reports;</w:t>
      </w:r>
    </w:p>
    <w:p>
      <w:pPr>
        <w:ind w:left="0" w:right="0" w:firstLine="360"/>
        <w:jc w:val="both"/>
      </w:pPr>
      <w:r>
        <w:rPr/>
        <w:t xml:space="preserve">(d) Liaison with courts, jails, and community mental health programs to ensure proper flow of information, coordinate logistical issues, and solve problems in complex circumstances;</w:t>
      </w:r>
    </w:p>
    <w:p>
      <w:pPr>
        <w:ind w:left="0" w:right="0" w:firstLine="360"/>
        <w:jc w:val="both"/>
      </w:pPr>
      <w:r>
        <w:rPr/>
        <w:t xml:space="preserve">(e) Coordination with state hospitals to identify and develop best practice interventions and curricula for services that are unique to forensic patients;</w:t>
      </w:r>
    </w:p>
    <w:p>
      <w:pPr>
        <w:ind w:left="0" w:right="0" w:firstLine="360"/>
        <w:jc w:val="both"/>
      </w:pPr>
      <w:r>
        <w:rPr/>
        <w:t xml:space="preserve">(f) Promotion of congruence across state hospitals where appropriate, and promotion of interventions that flow smoothly into community interventions;</w:t>
      </w:r>
    </w:p>
    <w:p>
      <w:pPr>
        <w:ind w:left="0" w:right="0" w:firstLine="360"/>
        <w:jc w:val="both"/>
      </w:pPr>
      <w:r>
        <w:rPr/>
        <w:t xml:space="preserve">(g) Coordination with regional support networks, behavioral health organizations, community mental health agencies, and the department of corrections regarding community treatment and monitoring of persons on conditional release;</w:t>
      </w:r>
    </w:p>
    <w:p>
      <w:pPr>
        <w:ind w:left="0" w:right="0" w:firstLine="360"/>
        <w:jc w:val="both"/>
      </w:pPr>
      <w:r>
        <w:rPr/>
        <w:t xml:space="preserve">(h) Oversight of forensic data collection and analysis statewide, and appropriate dissemination of data trends and recommendations; and</w:t>
      </w:r>
    </w:p>
    <w:p>
      <w:pPr>
        <w:ind w:left="0" w:right="0" w:firstLine="360"/>
        <w:jc w:val="both"/>
      </w:pPr>
      <w:r>
        <w:rPr/>
        <w:t xml:space="preserve">(i) Oversight of the development, implementation, and maintenance of community forensic programs and services.</w:t>
      </w:r>
    </w:p>
    <w:p>
      <w:pPr>
        <w:ind w:left="0" w:right="0" w:firstLine="360"/>
        <w:jc w:val="both"/>
      </w:pPr>
      <w:r>
        <w:rPr/>
        <w:t xml:space="preserve">(2) The office of forensic mental health services must have a clearly delineated budget separate from the overall budget for state hospital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ind w:left="0" w:right="0" w:firstLine="360"/>
        <w:jc w:val="both"/>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ind w:left="0" w:right="0" w:firstLine="360"/>
        <w:jc w:val="both"/>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ind w:left="0" w:right="0" w:firstLine="360"/>
        <w:jc w:val="both"/>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ind w:left="0" w:right="0" w:firstLine="360"/>
        <w:jc w:val="both"/>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ind w:left="0" w:right="0" w:firstLine="360"/>
        <w:jc w:val="both"/>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ind w:left="0" w:right="0" w:firstLine="360"/>
        <w:jc w:val="both"/>
      </w:pPr>
      <w:r>
        <w:rPr/>
        <w:t xml:space="preserve">(4) The individual shall have the rights specified in RCW 71.05.360 (8) and (9).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mental health professional under subsection (2) of this section to the secretary.</w:t>
      </w:r>
    </w:p>
    <w:p>
      <w:pPr>
        <w:ind w:left="0" w:right="0" w:firstLine="360"/>
        <w:jc w:val="both"/>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mental health professional under subsection (2) of this section to the secretary.</w:t>
      </w:r>
    </w:p>
    <w:p>
      <w:pPr>
        <w:ind w:left="0" w:right="0" w:firstLine="360"/>
        <w:jc w:val="both"/>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Extends the expiration date of a statute that provides for state reimbursement to counties for the costs of appointing independent competency evaluators for in-custody defendants from 2016 to 2018. Expands the grounds under which a county may request the reimbursement to include if the DSHS in the most recent quarter did not perform at least one-third of the number of evaluations for in-custody defendants as were performed by qualified experts appointed by the court. Requires the county to work with the DSHS to develop and maintain critical data elements relating to timeliness of evaluations and share this data with the DSHS. (Similar to SHB 1426/2SSB 5403).</w:t>
      </w:r>
    </w:p>
    <w:p>
      <w:pPr>
        <w:ind w:left="0" w:right="0" w:firstLine="360"/>
        <w:jc w:val="both"/>
      </w:pPr>
      <w:r>
        <w:rPr/>
        <w:t xml:space="preserve">(2) With respect to jail-based competency restoration treatment, removes the requirement that patients interact only with treatment staff and not jail staff, and instead requires that the model of restoration treatment must be substantially equivalent to that provided at the state hospitals and must be performed by staff and professionals with the skills and qualifications necessary to provide competency restoration services comparable to those in a state hospital.</w:t>
      </w:r>
    </w:p>
    <w:p>
      <w:pPr>
        <w:ind w:left="0" w:right="0" w:firstLine="360"/>
        <w:jc w:val="both"/>
      </w:pPr>
      <w:r>
        <w:rPr/>
        <w:t xml:space="preserve">(3) Adds an additional legislative finding that there is insufficient capacity within the state hospitals to meet the projected service needs of the state. Requires the DSHS to work with counties and the courts to develop a screening process to determine which individuals are safe to receive competency restoration treatment outside the state hospitals and to develop a plan to sufficiently increase capacity to meet the projected 10-year need for both forensic and civil mental health bed demand.</w:t>
      </w:r>
    </w:p>
    <w:p>
      <w:pPr>
        <w:ind w:left="0" w:right="0" w:firstLine="360"/>
        <w:jc w:val="both"/>
      </w:pPr>
      <w:r>
        <w:rPr/>
        <w:t xml:space="preserve">(4) With respect to the authority of the DSHS to place a person who is criminally insane in a secure facility of the department of corrections, requires the secretary of the DSHS to give consideration to reasonable alternatives that would be effective to manage the person's behavior, and to include written documentation of the decision and reasoning in the patient's medical file.</w:t>
      </w:r>
    </w:p>
    <w:p>
      <w:pPr>
        <w:ind w:left="0" w:right="0" w:firstLine="360"/>
        <w:jc w:val="both"/>
      </w:pPr>
      <w:r>
        <w:rPr/>
        <w:t xml:space="preserve">(5) Clarifies the process for referring a person for evaluation under the involuntary treatment act when the court dismisses criminal charges after finding that the person is incompetent to stand trial and is unlikely to regain competency.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07602663d43c9" /></Relationships>
</file>