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d240395914b1e" /></Relationships>
</file>

<file path=word/document.xml><?xml version="1.0" encoding="utf-8"?>
<w:document xmlns:w="http://schemas.openxmlformats.org/wordprocessingml/2006/main">
  <w:body>
    <w:p>
      <w:r>
        <w:rPr>
          <w:b/>
        </w:rPr>
        <w:r>
          <w:rPr/>
          <w:t xml:space="preserve">5269-S2.E</w:t>
        </w:r>
      </w:r>
      <w:r>
        <w:rPr>
          <w:b/>
        </w:rPr>
        <w:t xml:space="preserve"> </w:t>
        <w:t xml:space="preserve">AMH</w:t>
      </w:r>
      <w:r>
        <w:rPr>
          <w:b/>
        </w:rPr>
        <w:t xml:space="preserve"> </w:t>
        <w:r>
          <w:rPr/>
          <w:t xml:space="preserve">JUDI</w:t>
        </w:r>
      </w:r>
      <w:r>
        <w:rPr>
          <w:b/>
        </w:rPr>
        <w:t xml:space="preserve"> </w:t>
        <w:r>
          <w:rPr/>
          <w:t xml:space="preserve">H2362.3</w:t>
        </w:r>
      </w:r>
      <w:r>
        <w:rPr>
          <w:b/>
        </w:rPr>
        <w:t xml:space="preserve"> - NOT FOR FLOOR USE</w:t>
      </w:r>
    </w:p>
    <w:p>
      <w:pPr>
        <w:spacing w:before="480" w:after="0" w:line="408" w:lineRule="exact"/>
      </w:pPr>
      <w:r>
        <w:rPr>
          <w:b/>
          <w:u w:val="single"/>
        </w:rPr>
        <w:t xml:space="preserve">E2SSB 5269</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NOT 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ind w:left="0" w:right="0" w:firstLine="360"/>
        <w:jc w:val="both"/>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ind w:left="0" w:right="0" w:firstLine="360"/>
        <w:jc w:val="both"/>
      </w:pPr>
      <w:r>
        <w:rPr/>
        <w:t xml:space="preserve">(b) The petition must contain:</w:t>
      </w:r>
    </w:p>
    <w:p>
      <w:pPr>
        <w:ind w:left="0" w:right="0" w:firstLine="360"/>
        <w:jc w:val="both"/>
      </w:pPr>
      <w:r>
        <w:rPr/>
        <w:t xml:space="preserve">(i) A description of the relationship between the petitioner and the person; and</w:t>
      </w:r>
    </w:p>
    <w:p>
      <w:pPr>
        <w:ind w:left="0" w:right="0" w:firstLine="360"/>
        <w:jc w:val="both"/>
      </w:pPr>
      <w:r>
        <w:rPr/>
        <w:t xml:space="preserve">(ii) The date on which an investigation was requested from the designated mental health professional.</w:t>
      </w:r>
    </w:p>
    <w:p>
      <w:pPr>
        <w:ind w:left="0" w:right="0" w:firstLine="360"/>
        <w:jc w:val="both"/>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collected during the investigation.</w:t>
      </w:r>
    </w:p>
    <w:p>
      <w:pPr>
        <w:ind w:left="0" w:right="0" w:firstLine="360"/>
        <w:jc w:val="both"/>
      </w:pPr>
      <w:r>
        <w:rPr/>
        <w:t xml:space="preserve">(4) Following the filing of the petition and before the court reaches a decision, any person may submit a sworn declaration to the court in support of or in opposition to initial detention.</w:t>
      </w:r>
    </w:p>
    <w:p>
      <w:pPr>
        <w:ind w:left="0" w:right="0" w:firstLine="360"/>
        <w:jc w:val="both"/>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ind w:left="0" w:right="0" w:firstLine="360"/>
        <w:jc w:val="both"/>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ind w:left="0" w:right="0" w:firstLine="360"/>
        <w:jc w:val="both"/>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ind w:left="0" w:right="0" w:firstLine="360"/>
        <w:jc w:val="both"/>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ind w:left="0" w:right="0" w:firstLine="360"/>
        <w:jc w:val="both"/>
      </w:pPr>
      <w:r>
        <w:rPr/>
        <w:t xml:space="preserve">(9) For purposes of this section, "immediate family member" means a spouse, domestic partner, child, stepchild, parent, stepparent, grandparent, or sibling.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ind w:left="0" w:right="0" w:firstLine="360"/>
        <w:jc w:val="both"/>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2 of this act.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section 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ind w:left="0" w:right="0" w:firstLine="360"/>
        <w:jc w:val="both"/>
      </w:pPr>
      <w:r>
        <w:rPr/>
        <w:t xml:space="preserve">In any judicial proceeding for involuntary commitment or detention </w:t>
      </w:r>
      <w:r>
        <w:rPr>
          <w:u w:val="single"/>
        </w:rPr>
        <w:t xml:space="preserve">except under section 2 of this act</w:t>
      </w:r>
      <w:r>
        <w:rPr/>
        <w:t xml:space="preserve">, or in any proceeding challenging </w:t>
      </w:r>
      <w:r>
        <w:t>((</w:t>
      </w:r>
      <w:r>
        <w:rPr>
          <w:strike/>
        </w:rPr>
        <w:t xml:space="preserve">such</w:t>
      </w:r>
      <w:r>
        <w:t>))</w:t>
      </w:r>
      <w:r>
        <w:rPr/>
        <w:t xml:space="preserve"> </w:t>
      </w:r>
      <w:r>
        <w:rPr>
          <w:u w:val="single"/>
        </w:rPr>
        <w:t xml:space="preserve">involuntary</w:t>
      </w:r>
      <w:r>
        <w:rPr/>
        <w:t xml:space="preserve">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Makes changes to the petition requirements:</w:t>
      </w:r>
    </w:p>
    <w:p>
      <w:pPr>
        <w:ind w:left="0" w:right="0" w:firstLine="360"/>
        <w:jc w:val="both"/>
      </w:pPr>
      <w:r>
        <w:rPr/>
        <w:t xml:space="preserve">(a) Provides that the petitioner's description of the reason that the person should be detained may include certain historical information about the person;</w:t>
      </w:r>
    </w:p>
    <w:p>
      <w:pPr>
        <w:ind w:left="0" w:right="0" w:firstLine="360"/>
        <w:jc w:val="both"/>
      </w:pPr>
      <w:r>
        <w:rPr/>
        <w:t xml:space="preserve">(b) Removes specific authorization for a petition to contain a declaration in support of detention by a mental health professional; and</w:t>
      </w:r>
    </w:p>
    <w:p>
      <w:pPr>
        <w:ind w:left="0" w:right="0" w:firstLine="360"/>
        <w:jc w:val="both"/>
      </w:pPr>
      <w:r>
        <w:rPr/>
        <w:t xml:space="preserve">(c) Requires the court to review the petition within one judicial day.</w:t>
      </w:r>
    </w:p>
    <w:p>
      <w:pPr>
        <w:ind w:left="0" w:right="0" w:firstLine="360"/>
        <w:jc w:val="both"/>
      </w:pPr>
      <w:r>
        <w:rPr/>
        <w:t xml:space="preserve">(2) Modifies the process under which the court receives information from the designated mental health professional (DMHP):</w:t>
      </w:r>
    </w:p>
    <w:p>
      <w:pPr>
        <w:ind w:left="0" w:right="0" w:firstLine="360"/>
        <w:jc w:val="both"/>
      </w:pPr>
      <w:r>
        <w:rPr/>
        <w:t xml:space="preserve">(a) Requires the DMHP, in response to the court's order requesting information, to provide the court with a copy of all information collected during the investigation (along with a written statement); and</w:t>
      </w:r>
    </w:p>
    <w:p>
      <w:pPr>
        <w:ind w:left="0" w:right="0" w:firstLine="360"/>
        <w:jc w:val="both"/>
      </w:pPr>
      <w:r>
        <w:rPr/>
        <w:t xml:space="preserve">(b) Removes the requirement that the court provide the DMHP with any information accompanying the petition.</w:t>
      </w:r>
    </w:p>
    <w:p>
      <w:pPr>
        <w:ind w:left="0" w:right="0" w:firstLine="360"/>
        <w:jc w:val="both"/>
      </w:pPr>
      <w:r>
        <w:rPr/>
        <w:t xml:space="preserve">(3) Provides that orders expire 180 days from issuance, rather than "within 180 days."</w:t>
      </w:r>
    </w:p>
    <w:p>
      <w:pPr>
        <w:ind w:left="0" w:right="0" w:firstLine="360"/>
        <w:jc w:val="both"/>
      </w:pPr>
      <w:r>
        <w:rPr/>
        <w:t xml:space="preserve">(4) Removes the requirement that a DMHP prepare and submit a supplemental petition after the person is placed in the facility.</w:t>
      </w:r>
    </w:p>
    <w:p>
      <w:pPr>
        <w:ind w:left="0" w:right="0" w:firstLine="360"/>
        <w:jc w:val="both"/>
      </w:pPr>
      <w:r>
        <w:rPr/>
        <w:t xml:space="preserve">(5) Requires DMHP agencies to provide notice of the petition process to persons who requested an investigation if the DMHP decides not to detain the person (in addition to when 48 hours have elapsed and the person has not been detained).</w:t>
      </w:r>
    </w:p>
    <w:p>
      <w:pPr>
        <w:ind w:left="0" w:right="0" w:firstLine="360"/>
        <w:jc w:val="both"/>
      </w:pPr>
      <w:r>
        <w:rPr/>
        <w:t xml:space="preserve">(6) Changes references to "business day" to "judicial day."</w:t>
      </w:r>
    </w:p>
    <w:p>
      <w:pPr>
        <w:ind w:left="0" w:right="0" w:firstLine="360"/>
        <w:jc w:val="both"/>
      </w:pPr>
      <w:r>
        <w:rPr/>
        <w:t xml:space="preserve">(7) Removes the null and void clause.</w:t>
      </w:r>
    </w:p>
    <w:p>
      <w:pPr>
        <w:ind w:left="0" w:right="0" w:firstLine="360"/>
        <w:jc w:val="both"/>
      </w:pPr>
      <w:r>
        <w:rPr/>
        <w:t xml:space="preserve">(8) Reorganizes provisions and makes wording changes for clarity, and removes redundant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0482e02b64c39" /></Relationships>
</file>