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7085d69254f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COG</w:t>
        </w:r>
      </w:r>
      <w:r>
        <w:rPr>
          <w:b/>
        </w:rPr>
        <w:t xml:space="preserve"> </w:t>
        <w:r>
          <w:rPr/>
          <w:t xml:space="preserve">H2485.1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5398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 &amp; Gaming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445</w:t>
      </w:r>
      <w:r>
        <w:rPr/>
        <w:t xml:space="preserve"> and 2013 c 3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It is unlawful to open a package containing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or consume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in </w:t>
      </w:r>
      <w:r>
        <w:t>((</w:t>
      </w:r>
      <w:r>
        <w:rPr>
          <w:strike/>
        </w:rPr>
        <w:t xml:space="preserve">view of the general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 public </w:t>
      </w:r>
      <w:r>
        <w:rPr>
          <w:u w:val="single"/>
        </w:rPr>
        <w:t xml:space="preserve">place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the purposes of this section, "public place" has the same meaning as defined in RCW 66.04.010, but the exclusions in RCW 66.04.011 do not apply.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who violates this section is guilty of a class 3 civil infraction under chapter 7.80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prohibition on using or displaying marijuana in view of the general public.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43dde1b0e4f2d" /></Relationships>
</file>