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cb33ec96345cd" /></Relationships>
</file>

<file path=word/document.xml><?xml version="1.0" encoding="utf-8"?>
<w:document xmlns:w="http://schemas.openxmlformats.org/wordprocessingml/2006/main">
  <w:body>
    <w:p>
      <w:r>
        <w:rPr>
          <w:b/>
        </w:rPr>
        <w:r>
          <w:rPr/>
          <w:t xml:space="preserve">5779</w:t>
        </w:r>
      </w:r>
      <w:r>
        <w:rPr>
          <w:b/>
        </w:rPr>
        <w:t xml:space="preserve"> </w:t>
        <w:t xml:space="preserve">AMH</w:t>
      </w:r>
      <w:r>
        <w:rPr>
          <w:b/>
        </w:rPr>
        <w:t xml:space="preserve"> </w:t>
        <w:r>
          <w:rPr/>
          <w:t xml:space="preserve">HCW</w:t>
        </w:r>
      </w:r>
      <w:r>
        <w:rPr>
          <w:b/>
        </w:rPr>
        <w:t xml:space="preserve"> </w:t>
        <w:r>
          <w:rPr/>
          <w:t xml:space="preserve">H2476.1</w:t>
        </w:r>
      </w:r>
      <w:r>
        <w:rPr>
          <w:b/>
        </w:rPr>
        <w:t xml:space="preserve"> - NOT FOR FLOOR USE</w:t>
      </w:r>
    </w:p>
    <w:p>
      <w:pPr>
        <w:spacing w:before="480" w:after="0" w:line="408" w:lineRule="exact"/>
      </w:pPr>
      <w:r>
        <w:rPr>
          <w:b/>
          <w:u w:val="single"/>
        </w:rPr>
        <w:t xml:space="preserve">SB 5779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2013 2nd sp.s. c 4 s 994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regional support network defined in RCW 71.24.025. For this reason, the legislature intends that the department and the regional support networks shall work together to implement chapter 71.05 RCW as follows:</w:t>
      </w:r>
    </w:p>
    <w:p>
      <w:pPr>
        <w:spacing w:before="0" w:after="0" w:line="408" w:lineRule="exact"/>
        <w:ind w:left="0" w:right="0" w:firstLine="576"/>
        <w:jc w:val="left"/>
      </w:pPr>
      <w:r>
        <w:rPr/>
        <w:t xml:space="preserve">(1) By June 1, 2006, regional support networks shall recommend to the department the number of state hospital beds that should be allocated for use by each regional support network.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regional support networks regarding the number of state hospital beds that should be allocated for use by each regional support network, the department shall contract with each regional support network accordingly.</w:t>
      </w:r>
    </w:p>
    <w:p>
      <w:pPr>
        <w:spacing w:before="0" w:after="0" w:line="408" w:lineRule="exact"/>
        <w:ind w:left="0" w:right="0" w:firstLine="576"/>
        <w:jc w:val="left"/>
      </w:pPr>
      <w:r>
        <w:rPr/>
        <w:t xml:space="preserve">(3) If there is not consensus among the regional support networks regarding the number of beds that should be allocated for use by each regional support network, the department shall establish by emergency rule the number of state hospital beds that are available for use by each regional support network. The emergency rule shall be effective September 1, 2006. The primary factor used in the allocation shall be the estimated number of adults with acute and chronic mental illness in each regional support network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department is encouraged to enter performance-based contracts with regional support networks to provide some or all of the regional support network's allocated long-term inpatient treatment capacity in the community, rather than in the state hospital. The performance contracts shall specify the number of patient days of care available for use by the regional support network in the state hospital.</w:t>
      </w:r>
    </w:p>
    <w:p>
      <w:pPr>
        <w:spacing w:before="0" w:after="0" w:line="408" w:lineRule="exact"/>
        <w:ind w:left="0" w:right="0" w:firstLine="576"/>
        <w:jc w:val="left"/>
      </w:pPr>
      <w:r>
        <w:rPr/>
        <w:t xml:space="preserve">(6) If a regional support network uses more state hospital patient days of care than it has been allocated under subsection (3) or (4) of this section, or than it has contracted to use under subsection (5) of this section, whichever is less, it shall reimburse the department for that care, except during the period of July 1, 2012, through December 31, 2013, where reimbursements may be temporarily altered per section 204, chapter 4, Laws of 2013 2nd sp. sess. The reimbursement rate per day shall be </w:t>
      </w:r>
      <w:r>
        <w:rPr>
          <w:u w:val="single"/>
        </w:rPr>
        <w:t xml:space="preserve">one-half of</w:t>
      </w:r>
      <w:r>
        <w:rPr/>
        <w:t xml:space="preserv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w:t>
      </w:r>
      <w:r>
        <w:t>((</w:t>
      </w:r>
      <w:r>
        <w:rPr>
          <w:strike/>
        </w:rPr>
        <w:t xml:space="preserve">One-half of</w:t>
      </w:r>
      <w:r>
        <w:t>))</w:t>
      </w:r>
      <w:r>
        <w:rPr/>
        <w:t xml:space="preserve"> </w:t>
      </w:r>
      <w:r>
        <w:rPr>
          <w:u w:val="single"/>
        </w:rPr>
        <w:t xml:space="preserve">A</w:t>
      </w:r>
      <w:r>
        <w:rPr/>
        <w:t xml:space="preserve">ny reimbursements received pursuant to subsection (6) of this section shall be </w:t>
      </w:r>
      <w:r>
        <w:t>((</w:t>
      </w:r>
      <w:r>
        <w:rPr>
          <w:strike/>
        </w:rPr>
        <w:t xml:space="preserve">used to support the cost of operating the state hospital and, during the 2007-2009 fiscal biennium, implementing new services that will enable a regional support network to reduce its utilization of the state hospital. The department shall distribute the remaining half of such reimbursements</w:t>
      </w:r>
      <w:r>
        <w:t>))</w:t>
      </w:r>
      <w:r>
        <w:rPr/>
        <w:t xml:space="preserve"> </w:t>
      </w:r>
      <w:r>
        <w:rPr>
          <w:u w:val="single"/>
        </w:rPr>
        <w:t xml:space="preserve">distributed</w:t>
      </w:r>
      <w:r>
        <w:rPr/>
        <w:t xml:space="preserve"> among regional support networks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225 s 1 (uncodified) is amended to read as follows:</w:t>
      </w:r>
    </w:p>
    <w:p>
      <w:pPr>
        <w:spacing w:before="0" w:after="0" w:line="408" w:lineRule="exact"/>
        <w:ind w:left="0" w:right="0" w:firstLine="576"/>
        <w:jc w:val="left"/>
      </w:pPr>
      <w:r>
        <w:rPr/>
        <w:t xml:space="preserve">(1)(a) Beginning April 1, 2014, the legislature shall convene a task force to examine reform of the adult behavioral health system, with voting members as provided in this subsection.</w:t>
      </w:r>
    </w:p>
    <w:p>
      <w:pPr>
        <w:spacing w:before="0" w:after="0" w:line="408" w:lineRule="exact"/>
        <w:ind w:left="0" w:right="0" w:firstLine="576"/>
        <w:jc w:val="left"/>
      </w:pPr>
      <w:r>
        <w:rPr/>
        <w:t xml:space="preserve">(i) The president of the senate shall appoint one member and one alternate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alternate member from each of the two largest caucuses in the house of representatives.</w:t>
      </w:r>
    </w:p>
    <w:p>
      <w:pPr>
        <w:spacing w:before="0" w:after="0" w:line="408" w:lineRule="exact"/>
        <w:ind w:left="0" w:right="0" w:firstLine="576"/>
        <w:jc w:val="left"/>
      </w:pPr>
      <w:r>
        <w:rPr/>
        <w:t xml:space="preserve">(iii) The governor shall appoint three members consisting of the secretary of the department of social and health services or the secretary's designee, the director of the health care authority or the director's designee, and a representative of the governor.</w:t>
      </w:r>
    </w:p>
    <w:p>
      <w:pPr>
        <w:spacing w:before="0" w:after="0" w:line="408" w:lineRule="exact"/>
        <w:ind w:left="0" w:right="0" w:firstLine="576"/>
        <w:jc w:val="left"/>
      </w:pPr>
      <w:r>
        <w:rPr/>
        <w:t xml:space="preserve">(iv) The Washington state association of counties shall appoint three members.</w:t>
      </w:r>
    </w:p>
    <w:p>
      <w:pPr>
        <w:spacing w:before="0" w:after="0" w:line="408" w:lineRule="exact"/>
        <w:ind w:left="0" w:right="0" w:firstLine="576"/>
        <w:jc w:val="left"/>
      </w:pPr>
      <w:r>
        <w:rPr/>
        <w:t xml:space="preserve">(v) The governor shall request participation by a representative of tribal governments.</w:t>
      </w:r>
    </w:p>
    <w:p>
      <w:pPr>
        <w:spacing w:before="0" w:after="0" w:line="408" w:lineRule="exact"/>
        <w:ind w:left="0" w:right="0" w:firstLine="576"/>
        <w:jc w:val="left"/>
      </w:pPr>
      <w:r>
        <w:rPr/>
        <w:t xml:space="preserve">(b) The task force shall choose two cochairs from among its legislative members.</w:t>
      </w:r>
    </w:p>
    <w:p>
      <w:pPr>
        <w:spacing w:before="0" w:after="0" w:line="408" w:lineRule="exact"/>
        <w:ind w:left="0" w:right="0" w:firstLine="576"/>
        <w:jc w:val="left"/>
      </w:pPr>
      <w:r>
        <w:rPr/>
        <w:t xml:space="preserve">(c) The task force shall adopt a bottom-up approach and welcome input and participation from all stakeholders interested in the improvement of the adult behavioral health system. To that end, the task force must invite participation from, at a minimum, the following: The department of commerce, the department of corrections, the office of financial management, behavioral health service recipients and their families; local government; representatives of regional support networks; representatives of county coordinators; law enforcement; city and county jails; tribal representatives; behavioral health service providers; housing providers; labor representatives; counties with state hospitals; mental health advocates; chemical dependency advocates; public defenders with involuntary mental health commitment or mental health court experience; chemical dependency experts working with drug courts; medicaid managed care plan and associated delivery system representatives; long-term care service providers; the Washington state hospital association; and individuals with expertise in evidence-based and research-based behavioral health service practices. Leadership of subcommittees formed by the task force may be drawn from this body of invited participants.</w:t>
      </w:r>
    </w:p>
    <w:p>
      <w:pPr>
        <w:spacing w:before="0" w:after="0" w:line="408" w:lineRule="exact"/>
        <w:ind w:left="0" w:right="0" w:firstLine="576"/>
        <w:jc w:val="left"/>
      </w:pPr>
      <w:r>
        <w:rPr/>
        <w:t xml:space="preserve">(2) The task force shall undertake a systemwide review of the adult behavioral health system and make recommendations for reform concerning, but not limited to, the following:</w:t>
      </w:r>
    </w:p>
    <w:p>
      <w:pPr>
        <w:spacing w:before="0" w:after="0" w:line="408" w:lineRule="exact"/>
        <w:ind w:left="0" w:right="0" w:firstLine="576"/>
        <w:jc w:val="left"/>
      </w:pPr>
      <w:r>
        <w:rPr/>
        <w:t xml:space="preserve">(a) The means by which services are purchased and delivered for adults with mental illness and chemical dependency disorders through the department of social and health services and the health care authority, including:</w:t>
      </w:r>
    </w:p>
    <w:p>
      <w:pPr>
        <w:spacing w:before="0" w:after="0" w:line="408" w:lineRule="exact"/>
        <w:ind w:left="0" w:right="0" w:firstLine="576"/>
        <w:jc w:val="left"/>
      </w:pPr>
      <w:r>
        <w:rPr/>
        <w:t xml:space="preserve">(i) Guidance for the creation of common regional service areas for purchasing behavioral health services and medical care services by the department of social and health services and the health care authority, taking into consideration any proposal submitted by the Washington state association of counties under RCW 43.20A.893;</w:t>
      </w:r>
    </w:p>
    <w:p>
      <w:pPr>
        <w:spacing w:before="0" w:after="0" w:line="408" w:lineRule="exact"/>
        <w:ind w:left="0" w:right="0" w:firstLine="576"/>
        <w:jc w:val="left"/>
      </w:pPr>
      <w:r>
        <w:rPr/>
        <w:t xml:space="preserve">(ii) Identification of key issues which must be addressed by the department of social and health services to accomplish the integration of chemical dependency purchasing primarily with managed care contracts by April 1, 2016, under RCW 71.24.380, including review of the results of any available actuarial study to establish provider rates;</w:t>
      </w:r>
    </w:p>
    <w:p>
      <w:pPr>
        <w:spacing w:before="0" w:after="0" w:line="408" w:lineRule="exact"/>
        <w:ind w:left="0" w:right="0" w:firstLine="576"/>
        <w:jc w:val="left"/>
      </w:pPr>
      <w:r>
        <w:rPr/>
        <w:t xml:space="preserve">(iii) Strategies for moving towards full integration of medical and behavioral health services by January 1, 2020, and identification of key issues that must be addressed by the health care authority and the department of social and health services in furtherance of this goal;</w:t>
      </w:r>
    </w:p>
    <w:p>
      <w:pPr>
        <w:spacing w:before="0" w:after="0" w:line="408" w:lineRule="exact"/>
        <w:ind w:left="0" w:right="0" w:firstLine="576"/>
        <w:jc w:val="left"/>
      </w:pPr>
      <w:r>
        <w:rPr/>
        <w:t xml:space="preserve">(iv) By August 1, 2014, a review of performance measures and outcomes developed pursuant to RCW 43.20A.895 and chapter 70.320 RCW;</w:t>
      </w:r>
    </w:p>
    <w:p>
      <w:pPr>
        <w:spacing w:before="0" w:after="0" w:line="408" w:lineRule="exact"/>
        <w:ind w:left="0" w:right="0" w:firstLine="576"/>
        <w:jc w:val="left"/>
      </w:pPr>
      <w:r>
        <w:rPr/>
        <w:t xml:space="preserve">(v) Review criteria developed by the department of social and health services and the health care authority concerning submission of detailed plans and requests for early adoption of fully integrated purchasing and incentives under RCW 71.24.380;</w:t>
      </w:r>
    </w:p>
    <w:p>
      <w:pPr>
        <w:spacing w:before="0" w:after="0" w:line="408" w:lineRule="exact"/>
        <w:ind w:left="0" w:right="0" w:firstLine="576"/>
        <w:jc w:val="left"/>
      </w:pPr>
      <w:r>
        <w:rPr/>
        <w:t xml:space="preserve">(vi) Whether a statewide behavioral health ombuds office should be created;</w:t>
      </w:r>
    </w:p>
    <w:p>
      <w:pPr>
        <w:spacing w:before="0" w:after="0" w:line="408" w:lineRule="exact"/>
        <w:ind w:left="0" w:right="0" w:firstLine="576"/>
        <w:jc w:val="left"/>
      </w:pPr>
      <w:r>
        <w:rPr/>
        <w:t xml:space="preserve">(vii) Whether the state chemical dependency program should be mandated to provide twenty-four hour detoxification services, medication-assisted outpatient treatment, or contracts for case management and residential treatment services for pregnant and parenting women;</w:t>
      </w:r>
    </w:p>
    <w:p>
      <w:pPr>
        <w:spacing w:before="0" w:after="0" w:line="408" w:lineRule="exact"/>
        <w:ind w:left="0" w:right="0" w:firstLine="576"/>
        <w:jc w:val="left"/>
      </w:pPr>
      <w:r>
        <w:rPr/>
        <w:t xml:space="preserve">(viii) Review legal, clinical, and technological obstacles to sharing relevant health care information related to mental health, chemical dependency, and physical health across practice settings; </w:t>
      </w:r>
      <w:r>
        <w:t>((</w:t>
      </w:r>
      <w:r>
        <w:rPr>
          <w:strike/>
        </w:rPr>
        <w:t xml:space="preserve">and</w:t>
      </w:r>
      <w:r>
        <w:t>))</w:t>
      </w:r>
    </w:p>
    <w:p>
      <w:pPr>
        <w:spacing w:before="0" w:after="0" w:line="408" w:lineRule="exact"/>
        <w:ind w:left="0" w:right="0" w:firstLine="576"/>
        <w:jc w:val="left"/>
      </w:pPr>
      <w:r>
        <w:rPr/>
        <w:t xml:space="preserve">(ix) Review the extent and causes of variations in commitment rates in different jurisdictions across the state; </w:t>
      </w:r>
      <w:r>
        <w:rPr>
          <w:u w:val="single"/>
        </w:rPr>
        <w:t xml:space="preserve">and</w:t>
      </w:r>
    </w:p>
    <w:p>
      <w:pPr>
        <w:spacing w:before="0" w:after="0" w:line="408" w:lineRule="exact"/>
        <w:ind w:left="0" w:right="0" w:firstLine="576"/>
        <w:jc w:val="left"/>
      </w:pPr>
      <w:r>
        <w:rPr>
          <w:u w:val="single"/>
        </w:rPr>
        <w:t xml:space="preserve">(x) Identify options to promote the most appropriate use of long-term inpatient treatment capacity at the state hospitals, including options to promote the effective use of state hospitals and encourage appropriate cooperation among behavioral health organizations;</w:t>
      </w:r>
    </w:p>
    <w:p>
      <w:pPr>
        <w:spacing w:before="0" w:after="0" w:line="408" w:lineRule="exact"/>
        <w:ind w:left="0" w:right="0" w:firstLine="576"/>
        <w:jc w:val="left"/>
      </w:pPr>
      <w:r>
        <w:rPr/>
        <w:t xml:space="preserve">(b) Availability of effective means to promote recovery and prevent harm associated with mental illness and chemical dependency;</w:t>
      </w:r>
    </w:p>
    <w:p>
      <w:pPr>
        <w:spacing w:before="0" w:after="0" w:line="408" w:lineRule="exact"/>
        <w:ind w:left="0" w:right="0" w:firstLine="576"/>
        <w:jc w:val="left"/>
      </w:pPr>
      <w:r>
        <w:rPr/>
        <w:t xml:space="preserve">(c) Availability of crisis services, including boarding of mental health patients outside of regularly certified treatment beds;</w:t>
      </w:r>
    </w:p>
    <w:p>
      <w:pPr>
        <w:spacing w:before="0" w:after="0" w:line="408" w:lineRule="exact"/>
        <w:ind w:left="0" w:right="0" w:firstLine="576"/>
        <w:jc w:val="left"/>
      </w:pPr>
      <w:r>
        <w:rPr/>
        <w:t xml:space="preserve">(d) Best practices for cross-system collaboration between behavioral health treatment providers, medical care providers, long- term care service providers, entities providing health home services to high-risk medicaid clients, law enforcement, and criminal justice agencies;</w:t>
      </w:r>
    </w:p>
    <w:p>
      <w:pPr>
        <w:spacing w:before="0" w:after="0" w:line="408" w:lineRule="exact"/>
        <w:ind w:left="0" w:right="0" w:firstLine="576"/>
        <w:jc w:val="left"/>
      </w:pPr>
      <w:r>
        <w:rPr/>
        <w:t xml:space="preserve">(e) Public safety practices involving persons with mental illness and chemical dependency with forensic involvement.</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initial findings and recommendations to the governor and the appropriate committees of the legislature in a preliminary report by December 15, 2014, and a final report by December 15, 2015. Recommendations under subsection (2)(a)(i) of this section must be submitted to the governor by September 1, 2014.</w:t>
      </w:r>
    </w:p>
    <w:p>
      <w:pPr>
        <w:spacing w:before="0" w:after="0" w:line="408" w:lineRule="exact"/>
        <w:ind w:left="0" w:right="0" w:firstLine="576"/>
        <w:jc w:val="left"/>
      </w:pPr>
      <w:r>
        <w:rPr/>
        <w:t xml:space="preserve">(7) This section expires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reduction in the reimbursement rate that regional support networks must pay when they use more than their allotment of patient days of care at a state hospital as of April 1, 2016.</w:t>
      </w:r>
    </w:p>
    <w:p>
      <w:pPr>
        <w:spacing w:before="0" w:after="0" w:line="408" w:lineRule="exact"/>
        <w:ind w:left="0" w:right="0" w:firstLine="576"/>
        <w:jc w:val="left"/>
      </w:pPr>
      <w:r>
        <w:rPr/>
        <w:t xml:space="preserve">Directs the Adult Behavioral Health Systems Task Force to identify options to promote the most appropriate use of long-term inpatient treatment capacity at the state hospitals, including options to promote the effective use of state hospitals and encourage appropriate cooperation among behavioral health organizations.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687ec4b6da47a3" /></Relationships>
</file>