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7ea6be6b64f80" /></Relationships>
</file>

<file path=word/document.xml><?xml version="1.0" encoding="utf-8"?>
<w:document xmlns:w="http://schemas.openxmlformats.org/wordprocessingml/2006/main">
  <w:body>
    <w:p>
      <w:r>
        <w:rPr>
          <w:b/>
        </w:rPr>
        <w:r>
          <w:rPr/>
          <w:t xml:space="preserve">5820-S</w:t>
        </w:r>
      </w:r>
      <w:r>
        <w:rPr>
          <w:b/>
        </w:rPr>
        <w:t xml:space="preserve"> </w:t>
        <w:t xml:space="preserve">AMH</w:t>
      </w:r>
      <w:r>
        <w:rPr>
          <w:b/>
        </w:rPr>
        <w:t xml:space="preserve"> </w:t>
        <w:r>
          <w:rPr/>
          <w:t xml:space="preserve">TR</w:t>
        </w:r>
      </w:r>
      <w:r>
        <w:rPr>
          <w:b/>
        </w:rPr>
        <w:t xml:space="preserve"> </w:t>
        <w:r>
          <w:rPr/>
          <w:t xml:space="preserve">H2551.1</w:t>
        </w:r>
      </w:r>
      <w:r>
        <w:rPr>
          <w:b/>
        </w:rPr>
        <w:t xml:space="preserve"> - NOT FOR FLOOR USE</w:t>
      </w:r>
    </w:p>
    <w:p>
      <w:pPr>
        <w:spacing w:before="480" w:after="0" w:line="408" w:lineRule="exact"/>
      </w:pPr>
      <w:r>
        <w:rPr>
          <w:b/>
          <w:u w:val="single"/>
        </w:rPr>
        <w:t xml:space="preserve">SSB 5820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strike/>
        </w:rPr>
        <w:t xml:space="preserve">(6)</w:t>
      </w:r>
      <w:r>
        <w:rPr/>
        <w:t xml:space="preserve">)) All moneys received pursuant to this section, less any real estate broker's commissions paid pursuant to RCW 47.12.320, shall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w:t>
      </w:r>
      <w:r>
        <w:rPr>
          <w:u w:val="single"/>
        </w:rPr>
        <w:t xml:space="preserve">building</w:t>
      </w:r>
      <w:r>
        <w:rPr/>
        <w:t xml:space="preserve"> improvements or for construction of </w:t>
      </w:r>
      <w:r>
        <w:rPr>
          <w:u w:val="single"/>
        </w:rPr>
        <w:t xml:space="preserve">highway</w:t>
      </w:r>
      <w:r>
        <w:rPr/>
        <w:t xml:space="preserve">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w:t>
      </w:r>
      <w:r>
        <w:rPr>
          <w:u w:val="single"/>
        </w:rPr>
        <w:t xml:space="preserve">,</w:t>
      </w:r>
      <w:r>
        <w:rPr/>
        <w:t xml:space="preserve"> at the department's option</w:t>
      </w:r>
      <w:r>
        <w:rPr>
          <w:u w:val="single"/>
        </w:rPr>
        <w:t xml:space="preserve">,</w:t>
      </w:r>
      <w:r>
        <w:rPr/>
        <w:t xml:space="preserve"> be for cash, by real estate contract, or exchange of land or </w:t>
      </w:r>
      <w:r>
        <w:rPr>
          <w:u w:val="single"/>
        </w:rPr>
        <w:t xml:space="preserve">highway</w:t>
      </w:r>
      <w:r>
        <w:rPr/>
        <w:t xml:space="preserve">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u w:val="single"/>
        </w:rPr>
        <w:t xml:space="preserve">(8) The department may not enter into equal value exchanges or property acquisitions for building improvements without first consulting with the office of financial management and the joint transportation committee.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Reinstates the underlying statutory requirement to provide a sixty-day written notice of proposed disposition of state-owned land to counties, cities, and towns in which the land is located. Removes the provision prohibiting the Washington State Department of Transportation (WSDOT) from entering into equal value land exchange transactions. Modifies the equal value land exchange authority such that it may be exchanged for land, for building improvements, or for the construction of highway improvements. Limits the authority of the WSDOT to enter into land exchanges such that, when entering into equal value exchanges or property acquisitions for buildings, the department must first consult with the Office of Financial Management and the Joint Transportation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c645a6f9145e4" /></Relationships>
</file>