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6fe91aa1d42dd" /></Relationships>
</file>

<file path=word/document.xml><?xml version="1.0" encoding="utf-8"?>
<w:document xmlns:w="http://schemas.openxmlformats.org/wordprocessingml/2006/main">
  <w:body>
    <w:p>
      <w:r>
        <w:rPr>
          <w:b/>
        </w:rPr>
        <w:r>
          <w:rPr/>
          <w:t xml:space="preserve">5857-S.E5</w:t>
        </w:r>
      </w:r>
      <w:r>
        <w:rPr>
          <w:b/>
        </w:rPr>
        <w:t xml:space="preserve"> </w:t>
        <w:t xml:space="preserve">AMH</w:t>
      </w:r>
      <w:r>
        <w:rPr>
          <w:b/>
        </w:rPr>
        <w:t xml:space="preserve"> </w:t>
        <w:r>
          <w:rPr/>
          <w:t xml:space="preserve">ENGR</w:t>
        </w:r>
      </w:r>
      <w:r>
        <w:rPr>
          <w:b/>
        </w:rPr>
        <w:t xml:space="preserve"> </w:t>
        <w:r>
          <w:rPr/>
          <w:t xml:space="preserve">H4627.E</w:t>
        </w:r>
      </w:r>
      <w:r>
        <w:rPr>
          <w:b/>
        </w:rPr>
        <w:t xml:space="preserve"> - NOT FOR FLOOR USE</w:t>
      </w:r>
    </w:p>
    <w:p>
      <w:pPr>
        <w:ind w:left="0" w:right="0" w:firstLine="576"/>
      </w:pPr>
    </w:p>
    <w:p>
      <w:pPr>
        <w:spacing w:before="480" w:after="0" w:line="408" w:lineRule="exact"/>
      </w:pPr>
      <w:r>
        <w:rPr>
          <w:b/>
          <w:u w:val="single"/>
        </w:rPr>
        <w:t xml:space="preserve">5ESSB 5857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 costs have been established.</w:t>
      </w:r>
    </w:p>
    <w:p>
      <w:pPr>
        <w:spacing w:before="0" w:after="0" w:line="408" w:lineRule="exact"/>
        <w:ind w:left="0" w:right="0" w:firstLine="576"/>
        <w:jc w:val="left"/>
      </w:pPr>
      <w:r>
        <w:rPr>
          <w:strike/>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w:t>
      </w:r>
      <w:r>
        <w:t>))</w:t>
      </w:r>
      <w:r>
        <w:rPr/>
        <w:t xml:space="preserve"> </w:t>
      </w:r>
      <w:r>
        <w:rPr>
          <w:u w:val="single"/>
        </w:rPr>
        <w:t xml:space="preserve">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u w:val="single"/>
        </w:rPr>
        <w:t xml:space="preserve">(b)</w:t>
      </w:r>
      <w:r>
        <w:rPr/>
        <w:t xml:space="preserve"> "Multiple source drug" means a therapeutically equivalent drug that is available from at least two manufacturers.</w:t>
      </w:r>
    </w:p>
    <w:p>
      <w:pPr>
        <w:spacing w:before="0" w:after="0" w:line="408" w:lineRule="exact"/>
        <w:ind w:left="0" w:right="0" w:firstLine="576"/>
        <w:jc w:val="left"/>
      </w:pPr>
      <w:r>
        <w:rPr>
          <w:u w:val="singl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w:t>
      </w:r>
      <w:r>
        <w:t>((</w:t>
      </w:r>
      <w:r>
        <w:rPr>
          <w:strike/>
        </w:rPr>
        <w:t xml:space="preserve">maximum allowable cost</w:t>
      </w:r>
      <w:r>
        <w:t>))</w:t>
      </w:r>
      <w:r>
        <w:rPr/>
        <w:t xml:space="preserve"> </w:t>
      </w:r>
      <w:r>
        <w:rPr>
          <w:u w:val="single"/>
        </w:rPr>
        <w:t xml:space="preserve">the predetermined reimbursement costs for multisource generic drugs</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A network pharmacy may appeal a </w:t>
      </w:r>
      <w:r>
        <w:t>((</w:t>
      </w:r>
      <w:r>
        <w:rPr>
          <w:strike/>
        </w:rPr>
        <w:t xml:space="preserve">maximum allowable cost</w:t>
      </w:r>
      <w:r>
        <w:t>))</w:t>
      </w:r>
      <w:r>
        <w:rPr/>
        <w:t xml:space="preserve"> </w:t>
      </w:r>
      <w:r>
        <w:rPr>
          <w:u w:val="single"/>
        </w:rPr>
        <w:t xml:space="preserve">predetermined reimbursement cost for a multisource generic drug</w:t>
      </w:r>
      <w:r>
        <w:rPr/>
        <w:t xml:space="preserve">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w:t>
      </w:r>
      <w:r>
        <w:t>((</w:t>
      </w:r>
      <w:r>
        <w:rPr>
          <w:strike/>
        </w:rPr>
        <w:t xml:space="preserve">maximum allowable cost</w:t>
      </w:r>
      <w:r>
        <w:t>))</w:t>
      </w:r>
      <w:r>
        <w:rPr/>
        <w:t xml:space="preserve"> </w:t>
      </w:r>
      <w:r>
        <w:rPr>
          <w:u w:val="single"/>
        </w:rPr>
        <w:t xml:space="preserve">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r>
        <w:rPr/>
        <w:t xml:space="preserve">.</w:t>
      </w:r>
    </w:p>
    <w:p>
      <w:pPr>
        <w:spacing w:before="0" w:after="0" w:line="408" w:lineRule="exact"/>
        <w:ind w:left="0" w:right="0" w:firstLine="576"/>
        <w:jc w:val="left"/>
      </w:pPr>
      <w:r>
        <w:rPr/>
        <w:t xml:space="preserve">(5)(a) If an appeal is upheld under this section, the pharmacy benefit manager shall make </w:t>
      </w:r>
      <w:r>
        <w:t>((</w:t>
      </w:r>
      <w:r>
        <w:rPr>
          <w:strike/>
        </w:rPr>
        <w:t xml:space="preserve">an</w:t>
      </w:r>
      <w:r>
        <w:t>))</w:t>
      </w:r>
      <w:r>
        <w:rPr/>
        <w:t xml:space="preserve"> </w:t>
      </w:r>
      <w:r>
        <w:rPr>
          <w:u w:val="single"/>
        </w:rPr>
        <w:t xml:space="preserve">a reasonable</w:t>
      </w:r>
      <w:r>
        <w:rPr/>
        <w:t xml:space="preserve"> adjustment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(d) A pharmacy benefit manager may not retaliate against a pharmacy for pursuing an appeal under this subsection (6).</w:t>
      </w:r>
    </w:p>
    <w:p>
      <w:pPr>
        <w:spacing w:before="0" w:after="0" w:line="408" w:lineRule="exact"/>
        <w:ind w:left="0" w:right="0" w:firstLine="576"/>
        <w:jc w:val="left"/>
      </w:pPr>
      <w:r>
        <w:rPr>
          <w:u w:val="single"/>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0" w:after="0" w:line="408" w:lineRule="exact"/>
        <w:ind w:left="0" w:right="0" w:firstLine="576"/>
        <w:jc w:val="left"/>
      </w:pPr>
      <w:r>
        <w:rPr>
          <w:u w:val="single"/>
        </w:rPr>
        <w:t xml:space="preserve">(8) A pharmacy benefit manager shall comply with any requests for information from the commissioner for purposes of the study of the pharmacy chain of supply conducted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adopt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2016,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 study of the pharmacy chain of supply. The commissioner or his or her designee may convene one or more stakeholder work groups to address the components of the study, which must include but are not limited to the following:</w:t>
      </w:r>
    </w:p>
    <w:p>
      <w:pPr>
        <w:spacing w:before="0" w:after="0" w:line="408" w:lineRule="exact"/>
        <w:ind w:left="0" w:right="0" w:firstLine="576"/>
        <w:jc w:val="left"/>
      </w:pPr>
      <w:r>
        <w:rPr/>
        <w:t xml:space="preserve">(a)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(b) Discuss suggestions that recognize the unique nature of small and rural pharmacies and possible options that support a viable business model that do not increase the cost of pharmacy products;</w:t>
      </w:r>
    </w:p>
    <w:p>
      <w:pPr>
        <w:spacing w:before="0" w:after="0" w:line="408" w:lineRule="exact"/>
        <w:ind w:left="0" w:right="0" w:firstLine="576"/>
        <w:jc w:val="left"/>
      </w:pPr>
      <w:r>
        <w:rPr/>
        <w:t xml:space="preserve">(c) Review the availability of all drugs on the maximum allowable cost list or any similar list for pharmacies;</w:t>
      </w:r>
    </w:p>
    <w:p>
      <w:pPr>
        <w:spacing w:before="0" w:after="0" w:line="408" w:lineRule="exact"/>
        <w:ind w:left="0" w:right="0" w:firstLine="576"/>
        <w:jc w:val="left"/>
      </w:pPr>
      <w:r>
        <w:rPr/>
        <w:t xml:space="preserve">(d) Review data submitted under RCW 19.340.100(4)(b) for patterns and trends in the denials of internal pharmacy benefit manager appeals involving pharmacies with fifteen or more retail outlets, within the state of Washington, under their corporate umbrellas;</w:t>
      </w:r>
    </w:p>
    <w:p>
      <w:pPr>
        <w:spacing w:before="0" w:after="0" w:line="408" w:lineRule="exact"/>
        <w:ind w:left="0" w:right="0" w:firstLine="576"/>
        <w:jc w:val="left"/>
      </w:pPr>
      <w:r>
        <w:rPr/>
        <w:t xml:space="preserve">(e) Review the telephone contacts and standards for response times and availability; and</w:t>
      </w:r>
    </w:p>
    <w:p>
      <w:pPr>
        <w:spacing w:before="0" w:after="0" w:line="408" w:lineRule="exact"/>
        <w:ind w:left="0" w:right="0" w:firstLine="576"/>
        <w:jc w:val="left"/>
      </w:pPr>
      <w:r>
        <w:rPr/>
        <w:t xml:space="preserve">(f)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w:t>
      </w:r>
    </w:p>
    <w:p>
      <w:pPr>
        <w:spacing w:before="0" w:after="0" w:line="408" w:lineRule="exact"/>
        <w:ind w:left="0" w:right="0" w:firstLine="576"/>
        <w:jc w:val="left"/>
      </w:pPr>
      <w:r>
        <w:rPr/>
        <w:t xml:space="preserve">(2) The study must be delivered to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6aabe373f45e3" /></Relationships>
</file>