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e1337ecf94e84" /></Relationships>
</file>

<file path=word/document.xml><?xml version="1.0" encoding="utf-8"?>
<w:document xmlns:w="http://schemas.openxmlformats.org/wordprocessingml/2006/main">
  <w:body>
    <w:p>
      <w:r>
        <w:rPr>
          <w:b/>
        </w:rPr>
        <w:r>
          <w:rPr/>
          <w:t xml:space="preserve">5923.E</w:t>
        </w:r>
      </w:r>
      <w:r>
        <w:rPr>
          <w:b/>
        </w:rPr>
        <w:t xml:space="preserve"> </w:t>
        <w:t xml:space="preserve">AMH</w:t>
      </w:r>
      <w:r>
        <w:rPr>
          <w:b/>
        </w:rPr>
        <w:t xml:space="preserve"> </w:t>
        <w:r>
          <w:rPr/>
          <w:t xml:space="preserve">SPRI</w:t>
        </w:r>
      </w:r>
      <w:r>
        <w:rPr>
          <w:b/>
        </w:rPr>
        <w:t xml:space="preserve"> </w:t>
        <w:r>
          <w:rPr/>
          <w:t xml:space="preserve">H2673.4</w:t>
        </w:r>
      </w:r>
      <w:r>
        <w:rPr>
          <w:b/>
        </w:rPr>
        <w:t xml:space="preserve"> - NOT FOR FLOOR USE</w:t>
      </w:r>
    </w:p>
    <w:p>
      <w:pPr>
        <w:ind w:left="0" w:right="0" w:firstLine="576"/>
      </w:pPr>
    </w:p>
    <w:p>
      <w:pPr>
        <w:spacing w:before="480" w:after="0" w:line="408" w:lineRule="exact"/>
      </w:pPr>
      <w:r>
        <w:rPr>
          <w:b/>
          <w:u w:val="single"/>
        </w:rPr>
        <w:t xml:space="preserve">ESB 5923</w:t>
      </w:r>
      <w:r>
        <w:t xml:space="preserve"> -</w:t>
      </w:r>
      <w:r>
        <w:t xml:space="preserve"> </w:t>
        <w:t xml:space="preserve">H AMD TO LG COMM AMD (H-2394.1/15)</w:t>
      </w:r>
      <w:r>
        <w:t xml:space="preserve"> </w:t>
      </w:r>
      <w:r>
        <w:rPr>
          <w:b/>
        </w:rPr>
        <w:t xml:space="preserve">460</w:t>
      </w:r>
    </w:p>
    <w:p>
      <w:pPr>
        <w:ind w:left="0" w:right="0" w:firstLine="360"/>
        <w:jc w:val="both"/>
      </w:pPr>
      <w:r>
        <w:rPr/>
        <w:t xml:space="preserve">By Representative Springer</w:t>
      </w:r>
    </w:p>
    <w:p>
      <w:pPr>
        <w:jc w:val="right"/>
      </w:pPr>
      <w:r>
        <w:rPr>
          <w:b/>
        </w:rPr>
        <w:t xml:space="preserve">ADOPTED 4/14/2015</w:t>
      </w:r>
    </w:p>
    <w:p>
      <w:pPr>
        <w:ind w:left="0" w:right="0" w:firstLine="360"/>
        <w:jc w:val="both"/>
      </w:pPr>
      <w:r>
        <w:rPr/>
        <w:t xml:space="preserve">Beginning on page 1, line 3 of the amendment, strike all material through "2016." on page 11, line 23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ind w:left="0" w:right="0" w:firstLine="360"/>
        <w:jc w:val="both"/>
      </w:pPr>
      <w:r>
        <w:rPr/>
        <w:t xml:space="preserve">(1) It is the intent of the legislature:</w:t>
      </w:r>
    </w:p>
    <w:p>
      <w:pPr>
        <w:ind w:left="0" w:right="0" w:firstLine="360"/>
        <w:jc w:val="both"/>
      </w:pPr>
      <w:r>
        <w:rPr/>
        <w:t xml:space="preserve">(a) To ensure that adequate facilities are available to serve new growth and development;</w:t>
      </w:r>
    </w:p>
    <w:p>
      <w:pPr>
        <w:ind w:left="0" w:right="0" w:firstLine="360"/>
        <w:jc w:val="both"/>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ind w:left="0" w:right="0" w:firstLine="360"/>
        <w:jc w:val="both"/>
      </w:pPr>
      <w:r>
        <w:rPr/>
        <w:t xml:space="preserve">(c) To ensure that impact fees are imposed through established procedures and criteria so that specific developments do not pay arbitrary fees or duplicative fees for the same impact.</w:t>
      </w:r>
    </w:p>
    <w:p>
      <w:pPr>
        <w:ind w:left="0" w:right="0" w:firstLine="360"/>
        <w:jc w:val="both"/>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ind w:left="0" w:right="0" w:firstLine="360"/>
        <w:jc w:val="both"/>
      </w:pPr>
      <w:r>
        <w:rPr/>
        <w:t xml:space="preserve">(3)</w:t>
      </w:r>
      <w:r>
        <w:rPr>
          <w:u w:val="single"/>
        </w:rPr>
        <w:t xml:space="preserve">(a)(i)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w:t>
      </w:r>
      <w:r>
        <w:rPr>
          <w:u w:val="single"/>
        </w:rPr>
        <w:t xml:space="preserve">. The deferral system offered by a county, city, or town under this subsection (3) must include one or more of the following options:</w:t>
      </w:r>
    </w:p>
    <w:p>
      <w:pPr>
        <w:ind w:left="0" w:right="0" w:firstLine="360"/>
        <w:jc w:val="both"/>
      </w:pPr>
      <w:r>
        <w:rPr>
          <w:u w:val="single"/>
        </w:rPr>
        <w:t xml:space="preserve">(A) Deferring collection of the impact fee payment until final inspection;</w:t>
      </w:r>
    </w:p>
    <w:p>
      <w:pPr>
        <w:ind w:left="0" w:right="0" w:firstLine="360"/>
        <w:jc w:val="both"/>
      </w:pPr>
      <w:r>
        <w:rPr>
          <w:u w:val="single"/>
        </w:rPr>
        <w:t xml:space="preserve">(B) Deferring collection of the impact fee payment until certificate of occupancy or equivalent certification; or</w:t>
      </w:r>
    </w:p>
    <w:p>
      <w:pPr>
        <w:ind w:left="0" w:right="0" w:firstLine="360"/>
        <w:jc w:val="both"/>
      </w:pPr>
      <w:r>
        <w:rPr>
          <w:u w:val="single"/>
        </w:rPr>
        <w:t xml:space="preserve">(C) Deferring collection of the impact fee payment until the time of closing of the first sale of the property occurring after the issuance of the applicable building permit.</w:t>
      </w:r>
    </w:p>
    <w:p>
      <w:pPr>
        <w:ind w:left="0" w:right="0" w:firstLine="360"/>
        <w:jc w:val="both"/>
      </w:pPr>
      <w:r>
        <w:rPr>
          <w:u w:val="single"/>
        </w:rPr>
        <w:t xml:space="preserve">(ii) Counties, cities, and towns utilizing the deferral process required by this subsection (3)(a) may withhold certification of final inspection, certificate of occupancy, or equivalent certification until the impact fees have been paid in full.</w:t>
      </w:r>
    </w:p>
    <w:p>
      <w:pPr>
        <w:ind w:left="0" w:right="0" w:firstLine="360"/>
        <w:jc w:val="both"/>
      </w:pPr>
      <w:r>
        <w:rPr>
          <w:u w:val="single"/>
        </w:rPr>
        <w:t xml:space="preserve">(iii) The amount of impact fees that may be deferred under this subsection (3) must be determined by the fees in effect at the time the applicant applies for a deferral.</w:t>
      </w:r>
    </w:p>
    <w:p>
      <w:pPr>
        <w:ind w:left="0" w:right="0" w:firstLine="360"/>
        <w:jc w:val="both"/>
      </w:pPr>
      <w:r>
        <w:rPr>
          <w:u w:val="single"/>
        </w:rPr>
        <w:t xml:space="preserve">(iv)</w:t>
      </w:r>
      <w:r>
        <w:rPr>
          <w:u w:val="single"/>
        </w:rPr>
        <w:t xml:space="preserve">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ind w:left="0" w:right="0" w:firstLine="360"/>
        <w:jc w:val="both"/>
      </w:pPr>
      <w:r>
        <w:rPr>
          <w:u w:val="single"/>
        </w:rPr>
        <w:t xml:space="preserve">(b) The term of an impact fee deferral under this subsection (3) may not exceed eighteen months from the date of building permit issuance.</w:t>
      </w:r>
    </w:p>
    <w:p>
      <w:pPr>
        <w:ind w:left="0" w:right="0" w:firstLine="360"/>
        <w:jc w:val="both"/>
      </w:pPr>
      <w:r>
        <w:rPr>
          <w:u w:val="singl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ind w:left="0" w:right="0" w:firstLine="360"/>
        <w:jc w:val="both"/>
      </w:pPr>
      <w:r>
        <w:rPr>
          <w:u w:val="single"/>
        </w:rPr>
        <w:t xml:space="preserve">(i) In a form approved by the county, city, or town;</w:t>
      </w:r>
    </w:p>
    <w:p>
      <w:pPr>
        <w:ind w:left="0" w:right="0" w:firstLine="360"/>
        <w:jc w:val="both"/>
      </w:pPr>
      <w:r>
        <w:rPr>
          <w:u w:val="single"/>
        </w:rPr>
        <w:t xml:space="preserve">(ii) Signed by all owners of the property, with all signatures acknowledged as required for a deed, and recorded in the county where the property is located;</w:t>
      </w:r>
    </w:p>
    <w:p>
      <w:pPr>
        <w:ind w:left="0" w:right="0" w:firstLine="360"/>
        <w:jc w:val="both"/>
      </w:pPr>
      <w:r>
        <w:rPr>
          <w:u w:val="single"/>
        </w:rPr>
        <w:t xml:space="preserve">(iii) Binding on all successors in title after the recordation; and</w:t>
      </w:r>
    </w:p>
    <w:p>
      <w:pPr>
        <w:ind w:left="0" w:right="0" w:firstLine="360"/>
        <w:jc w:val="both"/>
      </w:pPr>
      <w:r>
        <w:rPr>
          <w:u w:val="single"/>
        </w:rPr>
        <w:t xml:space="preserve">(iv) Junior and subordinate to one mortgage for the purpose of construction upon the same real property granted by the person who applied for the deferral of impact fees.</w:t>
      </w:r>
    </w:p>
    <w:p>
      <w:pPr>
        <w:ind w:left="0" w:right="0" w:firstLine="360"/>
        <w:jc w:val="both"/>
      </w:pPr>
      <w:r>
        <w:rPr>
          <w:u w:val="singl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ind w:left="0" w:right="0" w:firstLine="360"/>
        <w:jc w:val="both"/>
      </w:pPr>
      <w:r>
        <w:rPr>
          <w:u w:val="singl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ind w:left="0" w:right="0" w:firstLine="360"/>
        <w:jc w:val="both"/>
      </w:pPr>
      <w:r>
        <w:rPr>
          <w:u w:val="singl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ind w:left="0" w:right="0" w:firstLine="360"/>
        <w:jc w:val="both"/>
      </w:pPr>
      <w:r>
        <w:rPr>
          <w:u w:val="singl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ind w:left="0" w:right="0" w:firstLine="360"/>
        <w:jc w:val="both"/>
      </w:pPr>
      <w:r>
        <w:rPr>
          <w:u w:val="single"/>
        </w:rPr>
        <w:t xml:space="preserve">(f) A county, city, or town with an impact fee deferral process on or before April 1, 2015, is exempt from the requirements of this subsection (3) if the deferral process delays all impact fees and remains in effect after September 1, 2016.</w:t>
      </w:r>
    </w:p>
    <w:p>
      <w:pPr>
        <w:ind w:left="0" w:right="0" w:firstLine="360"/>
        <w:jc w:val="both"/>
      </w:pPr>
      <w:r>
        <w:rPr>
          <w:u w:val="singl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ind w:left="0" w:right="0" w:firstLine="360"/>
        <w:jc w:val="both"/>
      </w:pPr>
      <w:r>
        <w:rPr>
          <w:u w:val="single"/>
        </w:rPr>
        <w:t xml:space="preserve">(ii) For purposes of this subsection (3)(g), an "applicant" includes an entity that controls the applicant, is controlled by the applicant, or is under common control with the applicant.</w:t>
      </w:r>
    </w:p>
    <w:p>
      <w:pPr>
        <w:ind w:left="0" w:right="0" w:firstLine="360"/>
        <w:jc w:val="both"/>
      </w:pPr>
      <w:r>
        <w:rPr>
          <w:u w:val="single"/>
        </w:rPr>
        <w:t xml:space="preserve">(h) Counties, cities, and towns may collect reasonable administrative fees to implement this subsection (3) from permit applicants who are seeking to delay the payment of impact fees under this subsection (3).</w:t>
      </w:r>
    </w:p>
    <w:p>
      <w:pPr>
        <w:ind w:left="0" w:right="0" w:firstLine="360"/>
        <w:jc w:val="both"/>
      </w:pPr>
      <w:r>
        <w:rPr>
          <w:u w:val="single"/>
        </w:rPr>
        <w:t xml:space="preserve">(i) In accordance with sections 3 and 4 of this act, counties, cities, and towns must cooperate with and provide requested data, materials, and assistance to the department of commerce and the joint legislative audit and review committee.</w:t>
      </w:r>
    </w:p>
    <w:p>
      <w:pPr>
        <w:ind w:left="0" w:right="0" w:firstLine="360"/>
        <w:jc w:val="both"/>
      </w:pPr>
      <w:r>
        <w:rPr>
          <w:u w:val="single"/>
        </w:rPr>
        <w:t xml:space="preserve">(4)</w:t>
      </w:r>
      <w:r>
        <w:rPr/>
        <w:t xml:space="preserve"> The impact fees:</w:t>
      </w:r>
    </w:p>
    <w:p>
      <w:pPr>
        <w:ind w:left="0" w:right="0" w:firstLine="360"/>
        <w:jc w:val="both"/>
      </w:pPr>
      <w:r>
        <w:rPr/>
        <w:t xml:space="preserve">(a) Shall only be imposed for system improvements that are reasonably related to the new development;</w:t>
      </w:r>
    </w:p>
    <w:p>
      <w:pPr>
        <w:ind w:left="0" w:right="0" w:firstLine="360"/>
        <w:jc w:val="both"/>
      </w:pPr>
      <w:r>
        <w:rPr/>
        <w:t xml:space="preserve">(b) Shall not exceed a proportionate share of the costs of system improvements that are reasonably related to the new development; and</w:t>
      </w:r>
    </w:p>
    <w:p>
      <w:pPr>
        <w:ind w:left="0" w:right="0" w:firstLine="360"/>
        <w:jc w:val="both"/>
      </w:pPr>
      <w:r>
        <w:rPr/>
        <w:t xml:space="preserve">(c) Shall be used for system improvements that will reasonably benefit the new development.</w:t>
      </w:r>
    </w:p>
    <w:p>
      <w:pPr>
        <w:ind w:left="0" w:right="0" w:firstLine="360"/>
        <w:jc w:val="both"/>
      </w:pPr>
      <w:r>
        <w:t>((</w:t>
      </w:r>
      <w:r>
        <w:rPr>
          <w:strike/>
        </w:rPr>
        <w:t xml:space="preserve">(4)</w:t>
      </w:r>
      <w:r>
        <w:t>))</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t>((</w:t>
      </w:r>
      <w:r>
        <w:rPr>
          <w:strike/>
        </w:rPr>
        <w:t xml:space="preserve">shall be</w:t>
      </w:r>
      <w:r>
        <w:t>))</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ind w:left="0" w:right="0" w:firstLine="360"/>
        <w:jc w:val="both"/>
      </w:pPr>
      <w:r>
        <w:t>((</w:t>
      </w:r>
      <w:r>
        <w:rPr>
          <w:strike/>
        </w:rPr>
        <w:t xml:space="preserve">(a)</w:t>
      </w:r>
      <w:r>
        <w:t>))</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ind w:left="0" w:right="0" w:firstLine="360"/>
        <w:jc w:val="both"/>
      </w:pPr>
      <w:r>
        <w:t>((</w:t>
      </w:r>
      <w:r>
        <w:rPr>
          <w:strike/>
        </w:rPr>
        <w:t xml:space="preserve">(b)</w:t>
      </w:r>
      <w:r>
        <w:t>))</w:t>
      </w:r>
      <w:r>
        <w:rPr/>
        <w:t xml:space="preserve"> </w:t>
      </w:r>
      <w:r>
        <w:rPr>
          <w:u w:val="single"/>
        </w:rPr>
        <w:t xml:space="preserve">(ii)</w:t>
      </w:r>
      <w:r>
        <w:rPr/>
        <w:t xml:space="preserve"> Additional demands placed on existing public facilities by new development; and</w:t>
      </w:r>
    </w:p>
    <w:p>
      <w:pPr>
        <w:ind w:left="0" w:right="0" w:firstLine="360"/>
        <w:jc w:val="both"/>
      </w:pPr>
      <w:r>
        <w:t>((</w:t>
      </w:r>
      <w:r>
        <w:rPr>
          <w:strike/>
        </w:rPr>
        <w:t xml:space="preserve">(c)</w:t>
      </w:r>
      <w:r>
        <w:t>))</w:t>
      </w:r>
      <w:r>
        <w:rPr/>
        <w:t xml:space="preserve"> </w:t>
      </w:r>
      <w:r>
        <w:rPr>
          <w:u w:val="single"/>
        </w:rPr>
        <w:t xml:space="preserve">(iii)</w:t>
      </w:r>
      <w:r>
        <w:rPr/>
        <w:t xml:space="preserve"> Additional public facility improvements required to serve new development.</w:t>
      </w:r>
    </w:p>
    <w:p>
      <w:pPr>
        <w:ind w:left="0" w:right="0" w:firstLine="360"/>
        <w:jc w:val="both"/>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ind w:left="0" w:right="0" w:firstLine="360"/>
        <w:jc w:val="both"/>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ind w:left="0" w:right="0" w:firstLine="360"/>
        <w:jc w:val="both"/>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ind w:left="0" w:right="0" w:firstLine="360"/>
        <w:jc w:val="both"/>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ind w:left="0" w:right="0" w:firstLine="360"/>
        <w:jc w:val="both"/>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ind w:left="0" w:right="0" w:firstLine="360"/>
        <w:jc w:val="both"/>
      </w:pPr>
      <w:r>
        <w:rPr/>
        <w:t xml:space="preserve">(4) A utilities element consisting of the general location, proposed location, and capacity of all existing and proposed utilities, including, but not limited to, electrical lines, telecommunication lines, and natural gas lines.</w:t>
      </w:r>
    </w:p>
    <w:p>
      <w:pPr>
        <w:ind w:left="0" w:right="0" w:firstLine="360"/>
        <w:jc w:val="both"/>
      </w:pPr>
      <w:r>
        <w:rPr/>
        <w:t xml:space="preserve">(5) Rural element. Counties shall include a rural element including lands that are not designated for urban growth, agriculture, forest, or mineral resources. The following provisions shall apply to the rural element:</w:t>
      </w:r>
    </w:p>
    <w:p>
      <w:pPr>
        <w:ind w:left="0" w:right="0" w:firstLine="360"/>
        <w:jc w:val="both"/>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ind w:left="0" w:right="0" w:firstLine="360"/>
        <w:jc w:val="both"/>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ind w:left="0" w:right="0" w:firstLine="360"/>
        <w:jc w:val="both"/>
      </w:pPr>
      <w:r>
        <w:rPr/>
        <w:t xml:space="preserve">(c) Measures governing rural development. The rural element shall include measures that apply to rural development and protect the rural character of the area, as established by the county, by:</w:t>
      </w:r>
    </w:p>
    <w:p>
      <w:pPr>
        <w:ind w:left="0" w:right="0" w:firstLine="360"/>
        <w:jc w:val="both"/>
      </w:pPr>
      <w:r>
        <w:rPr/>
        <w:t xml:space="preserve">(i) Containing or otherwise controlling rural development;</w:t>
      </w:r>
    </w:p>
    <w:p>
      <w:pPr>
        <w:ind w:left="0" w:right="0" w:firstLine="360"/>
        <w:jc w:val="both"/>
      </w:pPr>
      <w:r>
        <w:rPr/>
        <w:t xml:space="preserve">(ii) Assuring visual compatibility of rural development with the surrounding rural area;</w:t>
      </w:r>
    </w:p>
    <w:p>
      <w:pPr>
        <w:ind w:left="0" w:right="0" w:firstLine="360"/>
        <w:jc w:val="both"/>
      </w:pPr>
      <w:r>
        <w:rPr/>
        <w:t xml:space="preserve">(iii) Reducing the inappropriate conversion of undeveloped land into sprawling, low-density development in the rural area;</w:t>
      </w:r>
    </w:p>
    <w:p>
      <w:pPr>
        <w:ind w:left="0" w:right="0" w:firstLine="360"/>
        <w:jc w:val="both"/>
      </w:pPr>
      <w:r>
        <w:rPr/>
        <w:t xml:space="preserve">(iv) Protecting critical areas, as provided in RCW 36.70A.060, and surface water and groundwater resources; and</w:t>
      </w:r>
    </w:p>
    <w:p>
      <w:pPr>
        <w:ind w:left="0" w:right="0" w:firstLine="360"/>
        <w:jc w:val="both"/>
      </w:pPr>
      <w:r>
        <w:rPr/>
        <w:t xml:space="preserve">(v) Protecting against conflicts with the use of agricultural, forest, and mineral resource lands designated under RCW 36.70A.170.</w:t>
      </w:r>
    </w:p>
    <w:p>
      <w:pPr>
        <w:ind w:left="0" w:right="0" w:firstLine="360"/>
        <w:jc w:val="both"/>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ind w:left="0" w:right="0" w:firstLine="360"/>
        <w:jc w:val="both"/>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ind w:left="0" w:right="0" w:firstLine="360"/>
        <w:jc w:val="both"/>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ind w:left="0" w:right="0" w:firstLine="360"/>
        <w:jc w:val="both"/>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ind w:left="0" w:right="0" w:firstLine="360"/>
        <w:jc w:val="both"/>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ind w:left="0" w:right="0" w:firstLine="360"/>
        <w:jc w:val="both"/>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ind w:left="0" w:right="0" w:firstLine="360"/>
        <w:jc w:val="both"/>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ind w:left="0" w:right="0" w:firstLine="360"/>
        <w:jc w:val="both"/>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ind w:left="0" w:right="0" w:firstLine="360"/>
        <w:jc w:val="both"/>
      </w:pPr>
      <w:r>
        <w:rPr/>
        <w:t xml:space="preserve">(v) For purposes of (d) of this subsection, an existing area or existing use is one that was in existence:</w:t>
      </w:r>
    </w:p>
    <w:p>
      <w:pPr>
        <w:ind w:left="0" w:right="0" w:firstLine="360"/>
        <w:jc w:val="both"/>
      </w:pPr>
      <w:r>
        <w:rPr/>
        <w:t xml:space="preserve">(A) On July 1, 1990, in a county that was initially required to plan under all of the provisions of this chapter;</w:t>
      </w:r>
    </w:p>
    <w:p>
      <w:pPr>
        <w:ind w:left="0" w:right="0" w:firstLine="360"/>
        <w:jc w:val="both"/>
      </w:pPr>
      <w:r>
        <w:rPr/>
        <w:t xml:space="preserve">(B) On the date the county adopted a resolution under RCW 36.70A.040(2), in a county that is planning under all of the provisions of this chapter under RCW 36.70A.040(2); or</w:t>
      </w:r>
    </w:p>
    <w:p>
      <w:pPr>
        <w:ind w:left="0" w:right="0" w:firstLine="360"/>
        <w:jc w:val="both"/>
      </w:pPr>
      <w:r>
        <w:rPr/>
        <w:t xml:space="preserve">(C) On the date the office of financial management certifies the county's population as provided in RCW 36.70A.040(5), in a county that is planning under all of the provisions of this chapter pursuant to RCW 36.70A.040(5).</w:t>
      </w:r>
    </w:p>
    <w:p>
      <w:pPr>
        <w:ind w:left="0" w:right="0" w:firstLine="360"/>
        <w:jc w:val="both"/>
      </w:pPr>
      <w:r>
        <w:rPr/>
        <w:t xml:space="preserve">(e) Exception. This subsection shall not be interpreted to permit in the rural area a major industrial development or a master planned resort unless otherwise specifically permitted under RCW 36.70A.360 and 36.70A.365.</w:t>
      </w:r>
    </w:p>
    <w:p>
      <w:pPr>
        <w:ind w:left="0" w:right="0" w:firstLine="360"/>
        <w:jc w:val="both"/>
      </w:pPr>
      <w:r>
        <w:rPr/>
        <w:t xml:space="preserve">(6) A transportation element that implements, and is consistent with, the land use element.</w:t>
      </w:r>
    </w:p>
    <w:p>
      <w:pPr>
        <w:ind w:left="0" w:right="0" w:firstLine="360"/>
        <w:jc w:val="both"/>
      </w:pPr>
      <w:r>
        <w:rPr/>
        <w:t xml:space="preserve">(a) The transportation element shall include the following subelements:</w:t>
      </w:r>
    </w:p>
    <w:p>
      <w:pPr>
        <w:ind w:left="0" w:right="0" w:firstLine="360"/>
        <w:jc w:val="both"/>
      </w:pPr>
      <w:r>
        <w:rPr/>
        <w:t xml:space="preserve">(i) Land use assumptions used in estimating travel;</w:t>
      </w:r>
    </w:p>
    <w:p>
      <w:pPr>
        <w:ind w:left="0" w:right="0" w:firstLine="360"/>
        <w:jc w:val="both"/>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ind w:left="0" w:right="0" w:firstLine="360"/>
        <w:jc w:val="both"/>
      </w:pPr>
      <w:r>
        <w:rPr/>
        <w:t xml:space="preserve">(iii) Facilities and services needs, including:</w:t>
      </w:r>
    </w:p>
    <w:p>
      <w:pPr>
        <w:ind w:left="0" w:right="0" w:firstLine="360"/>
        <w:jc w:val="both"/>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ind w:left="0" w:right="0" w:firstLine="360"/>
        <w:jc w:val="both"/>
      </w:pPr>
      <w:r>
        <w:rPr/>
        <w:t xml:space="preserve">(B) Level of service standards for all locally owned arterials and transit routes to serve as a gauge to judge performance of the system. These standards should be regionally coordinated;</w:t>
      </w:r>
    </w:p>
    <w:p>
      <w:pPr>
        <w:ind w:left="0" w:right="0" w:firstLine="360"/>
        <w:jc w:val="both"/>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ind w:left="0" w:right="0" w:firstLine="360"/>
        <w:jc w:val="both"/>
      </w:pPr>
      <w:r>
        <w:rPr/>
        <w:t xml:space="preserve">(D) Specific actions and requirements for bringing into compliance locally owned transportation facilities or services that are below an established level of service standard;</w:t>
      </w:r>
    </w:p>
    <w:p>
      <w:pPr>
        <w:ind w:left="0" w:right="0" w:firstLine="360"/>
        <w:jc w:val="both"/>
      </w:pPr>
      <w:r>
        <w:rPr/>
        <w:t xml:space="preserve">(E) Forecasts of traffic for at least ten years based on the adopted land use plan to provide information on the location, timing, and capacity needs of future growth;</w:t>
      </w:r>
    </w:p>
    <w:p>
      <w:pPr>
        <w:ind w:left="0" w:right="0" w:firstLine="360"/>
        <w:jc w:val="both"/>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ind w:left="0" w:right="0" w:firstLine="360"/>
        <w:jc w:val="both"/>
      </w:pPr>
      <w:r>
        <w:rPr/>
        <w:t xml:space="preserve">(iv) Finance, including:</w:t>
      </w:r>
    </w:p>
    <w:p>
      <w:pPr>
        <w:ind w:left="0" w:right="0" w:firstLine="360"/>
        <w:jc w:val="both"/>
      </w:pPr>
      <w:r>
        <w:rPr/>
        <w:t xml:space="preserve">(A) An analysis of funding capability to judge needs against probable funding resources;</w:t>
      </w:r>
    </w:p>
    <w:p>
      <w:pPr>
        <w:ind w:left="0" w:right="0" w:firstLine="360"/>
        <w:jc w:val="both"/>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ind w:left="0" w:right="0" w:firstLine="360"/>
        <w:jc w:val="both"/>
      </w:pPr>
      <w:r>
        <w:rPr/>
        <w:t xml:space="preserve">(C) If probable funding falls short of meeting identified needs, a discussion of how additional funding will be raised, or how land use assumptions will be reassessed to ensure that level of service standards will be met;</w:t>
      </w:r>
    </w:p>
    <w:p>
      <w:pPr>
        <w:ind w:left="0" w:right="0" w:firstLine="360"/>
        <w:jc w:val="both"/>
      </w:pPr>
      <w:r>
        <w:rPr/>
        <w:t xml:space="preserve">(v) Intergovernmental coordination efforts, including an assessment of the impacts of the transportation plan and land use assumptions on the transportation systems of adjacent jurisdictions;</w:t>
      </w:r>
    </w:p>
    <w:p>
      <w:pPr>
        <w:ind w:left="0" w:right="0" w:firstLine="360"/>
        <w:jc w:val="both"/>
      </w:pPr>
      <w:r>
        <w:rPr/>
        <w:t xml:space="preserve">(vi) Demand-management strategies;</w:t>
      </w:r>
    </w:p>
    <w:p>
      <w:pPr>
        <w:ind w:left="0" w:right="0" w:firstLine="360"/>
        <w:jc w:val="both"/>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ind w:left="0" w:right="0" w:firstLine="360"/>
        <w:jc w:val="both"/>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full payment of all impact fees is due to the county or city.</w:t>
      </w:r>
    </w:p>
    <w:p>
      <w:pPr>
        <w:ind w:left="0" w:right="0" w:firstLine="360"/>
        <w:jc w:val="both"/>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ind w:left="0" w:right="0" w:firstLine="360"/>
        <w:jc w:val="both"/>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ind w:left="0" w:right="0" w:firstLine="360"/>
        <w:jc w:val="both"/>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ind w:left="0" w:right="0" w:firstLine="360"/>
        <w:jc w:val="both"/>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ind w:left="0" w:right="0" w:firstLine="360"/>
        <w:jc w:val="both"/>
      </w:pPr>
      <w:r>
        <w:rPr/>
        <w:t xml:space="preserve">(1) The joint legislative audit and review committee must review the impact fee deferral requirements of RCW 82.02.050(3). The review must consist of an examination of issued impact fee deferrals, including: (a) The number of deferrals requested of and issued by counties, cities, and towns; (b) the type of impact fee deferred; (c) the monetary amount of deferrals, by jurisdiction; (d) whether the deferral process was efficiently administered; (e) the number of deferrals that were not fully and timely paid; and (f) the costs to counties, cities, and towns for collecting timely and delinquent fees. The review must also include an evaluation of whether the impact fee deferral process required by RCW 82.02.050(3) was effective in providing a locally administered process for the deferral and full payment of impact fees.</w:t>
      </w:r>
    </w:p>
    <w:p>
      <w:pPr>
        <w:ind w:left="0" w:right="0" w:firstLine="360"/>
        <w:jc w:val="both"/>
      </w:pPr>
      <w:r>
        <w:rPr/>
        <w:t xml:space="preserve">(2) The review required by this section must, in accordance with RCW 43.01.036, be submitted to the appropriate committees of the house of representatives and the senate on or before September 1, 2021.</w:t>
      </w:r>
    </w:p>
    <w:p>
      <w:pPr>
        <w:ind w:left="0" w:right="0" w:firstLine="360"/>
        <w:jc w:val="both"/>
      </w:pPr>
      <w:r>
        <w:rPr/>
        <w:t xml:space="preserve">(3) In complying with this section, and in accordance with section 4 of this act, the joint legislative audit and review committee must make its collected data and associated materials available, upon request, to the department of commerce.</w:t>
      </w:r>
    </w:p>
    <w:p>
      <w:pPr>
        <w:ind w:left="0" w:right="0" w:firstLine="360"/>
        <w:jc w:val="both"/>
      </w:pPr>
      <w:r>
        <w:rPr/>
        <w:t xml:space="preserve">(4) This section expires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ind w:left="0" w:right="0" w:firstLine="360"/>
        <w:jc w:val="both"/>
      </w:pPr>
      <w:r>
        <w:rPr/>
        <w:t xml:space="preserve">(1) Beginning December 1, 2018, and each year thereafter, the department of commerce must prepare an annual report on the impact fee deferral process established in RCW 82.02.050(3). The report must include: (a) The number of deferrals requested of and issued by counties, cities, and towns; (b) the number of deferrals that were not fully and timely paid; and (c) other information as deemed appropriate.</w:t>
      </w:r>
    </w:p>
    <w:p>
      <w:pPr>
        <w:ind w:left="0" w:right="0" w:firstLine="360"/>
        <w:jc w:val="both"/>
      </w:pPr>
      <w:r>
        <w:rPr/>
        <w:t xml:space="preserve">(2) The report required by this section must, in accordance with RCW 43.01.036, be submitted to the appropriate committees of the house of representatives and the senate.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r>
        <w:rPr/>
        <w:t xml:space="preserve">"</w:t>
      </w:r>
    </w:p>
    <w:p>
      <w:pPr>
        <w:ind w:left="0" w:right="0" w:firstLine="360"/>
        <w:jc w:val="both"/>
      </w:pPr>
      <w:r>
        <w:rPr/>
        <w:t xml:space="preserve">Correct any internal references accordingly.</w:t>
      </w:r>
    </w:p>
    <w:p>
      <w:pPr>
        <w:ind w:left="0" w:right="0" w:firstLine="360"/>
        <w:jc w:val="both"/>
      </w:pPr>
      <w:r>
        <w:rPr>
          <w:u w:val="single"/>
        </w:rPr>
        <w:t xml:space="preserve">EFFECT:</w:t>
      </w:r>
      <w:r>
        <w:rPr/>
        <w:t xml:space="preserve"> The amendment makes the following changes to the underlying striking amendment:</w:t>
      </w:r>
    </w:p>
    <w:p>
      <w:pPr>
        <w:ind w:left="0" w:right="0" w:firstLine="360"/>
        <w:jc w:val="both"/>
      </w:pPr>
      <w:r>
        <w:rPr/>
        <w:t xml:space="preserve">(1) Deletes intent language;</w:t>
      </w:r>
    </w:p>
    <w:p>
      <w:pPr>
        <w:ind w:left="0" w:right="0" w:firstLine="360"/>
        <w:jc w:val="both"/>
      </w:pPr>
      <w:r>
        <w:rPr/>
        <w:t xml:space="preserve">(2) Removes the covenant-based impact fee deferral system required in the underlying striking amendment for counties, cities, and towns for residential building permits issued for single-family detached or attached residential construction;</w:t>
      </w:r>
    </w:p>
    <w:p>
      <w:pPr>
        <w:ind w:left="0" w:right="0" w:firstLine="360"/>
        <w:jc w:val="both"/>
      </w:pPr>
      <w:r>
        <w:rPr/>
        <w:t xml:space="preserve">(3) Obligates counties, cities, and towns that collect impact fees to, by September 1, 2016, adopt and maintain a system for the deferred collection of impact fees for single-family detached and attached residential construction;</w:t>
      </w:r>
    </w:p>
    <w:p>
      <w:pPr>
        <w:ind w:left="0" w:right="0" w:firstLine="360"/>
        <w:jc w:val="both"/>
      </w:pPr>
      <w:r>
        <w:rPr/>
        <w:t xml:space="preserve">(4) Authorizes counties, cities, and towns to collect reasonable administrative fees to implement the deferral system from permit applicants seeking to delay the payment of impact fees;</w:t>
      </w:r>
    </w:p>
    <w:p>
      <w:pPr>
        <w:ind w:left="0" w:right="0" w:firstLine="360"/>
        <w:jc w:val="both"/>
      </w:pPr>
      <w:r>
        <w:rPr/>
        <w:t xml:space="preserve">(5) Specifies that the deferral system must include a process by which an applicant for a building permit for a single-family detached or attached residence may request a deferral of the full impact fee payment until final inspection, certificate of occupancy, or equivalent certification;</w:t>
      </w:r>
    </w:p>
    <w:p>
      <w:pPr>
        <w:ind w:left="0" w:right="0" w:firstLine="360"/>
        <w:jc w:val="both"/>
      </w:pPr>
      <w:r>
        <w:rPr/>
        <w:t xml:space="preserve">(6) Specifies that the deferral system must include one or more of the following options: (a) Deferring collection of the impact fee payment until final inspection; (b) deferring collection of the impact fee payment until certificate of occupancy or equivalent certification; or (c) deferring collection of the impact fee payment until the time of closing of the first sale of the property occurring after the issuance of the applicable building permit;</w:t>
      </w:r>
    </w:p>
    <w:p>
      <w:pPr>
        <w:ind w:left="0" w:right="0" w:firstLine="360"/>
        <w:jc w:val="both"/>
      </w:pPr>
      <w:r>
        <w:rPr/>
        <w:t xml:space="preserve">(7) Specifies that the amount of impact fees that may be deferred must be determined by the fees in effect at the time the applicant applies for a deferral, and that the maximum term of a deferral may not exceed 18 months from the date of building permit issuance;</w:t>
      </w:r>
    </w:p>
    <w:p>
      <w:pPr>
        <w:ind w:left="0" w:right="0" w:firstLine="360"/>
        <w:jc w:val="both"/>
      </w:pPr>
      <w:r>
        <w:rPr/>
        <w:t xml:space="preserve">(8) Authorizes counties, cities, and towns to withhold certification of final inspection or certificate of occupancy or equivalent certification until the impact fees have been paid in full;</w:t>
      </w:r>
    </w:p>
    <w:p>
      <w:pPr>
        <w:ind w:left="0" w:right="0" w:firstLine="360"/>
        <w:jc w:val="both"/>
      </w:pPr>
      <w:r>
        <w:rPr/>
        <w:t xml:space="preserve">(9) Requires, with limited exceptions, an applicant seeking a deferral to grant and record a deferred impact fee lien that is binding on all successors in title and meets other requirements;</w:t>
      </w:r>
    </w:p>
    <w:p>
      <w:pPr>
        <w:ind w:left="0" w:right="0" w:firstLine="360"/>
        <w:jc w:val="both"/>
      </w:pPr>
      <w:r>
        <w:rPr/>
        <w:t xml:space="preserve">(10) Authorizes counties, cities, and towns to institute foreclosure proceedings for impact fees that were not paid in accordance with a deferral;</w:t>
      </w:r>
    </w:p>
    <w:p>
      <w:pPr>
        <w:ind w:left="0" w:right="0" w:firstLine="360"/>
        <w:jc w:val="both"/>
      </w:pPr>
      <w:r>
        <w:rPr/>
        <w:t xml:space="preserve">(11) Specifies that if a county, city, or town does not institute foreclosure proceedings for unpaid school impact fees within 45 days of receiving a notice from a school district requesting that it do so, the district may institute foreclosure proceedings with respect to the unpaid impact fees;</w:t>
      </w:r>
    </w:p>
    <w:p>
      <w:pPr>
        <w:ind w:left="0" w:right="0" w:firstLine="360"/>
        <w:jc w:val="both"/>
      </w:pPr>
      <w:r>
        <w:rPr/>
        <w:t xml:space="preserve">(12) Establishes that a county, city, or town with an impact fee deferral process on or before April 1, 2015, is exempt from the deferral system required in the amendment if the deferral process delays all impact fees and remains in effect after September 1, 2016;</w:t>
      </w:r>
    </w:p>
    <w:p>
      <w:pPr>
        <w:ind w:left="0" w:right="0" w:firstLine="360"/>
        <w:jc w:val="both"/>
      </w:pPr>
      <w:r>
        <w:rPr/>
        <w:t xml:space="preserve">(13) Specifies that each applicant for a single-family residential construction permit, in accordance with his or her contractor registration number or other unique identification number, is entitled to annually receive deferrals for the first 20 single-family residential construction building permits per county, city, or town;</w:t>
      </w:r>
    </w:p>
    <w:p>
      <w:pPr>
        <w:ind w:left="0" w:right="0" w:firstLine="360"/>
        <w:jc w:val="both"/>
      </w:pPr>
      <w:r>
        <w:rPr/>
        <w:t xml:space="preserve">(14) Authorizes counties, cities, and towns, by ordinance, to annually defer more than 20 single-family residential construction building permits for an applicant;</w:t>
      </w:r>
    </w:p>
    <w:p>
      <w:pPr>
        <w:ind w:left="0" w:right="0" w:firstLine="360"/>
        <w:jc w:val="both"/>
      </w:pPr>
      <w:r>
        <w:rPr/>
        <w:t xml:space="preserve">(15) Establishes school district consultation requirements for counties, cities, and towns that apply if a county, city, or town that collects impact fees on behalf of one or more school districts elects to annually defer more than 20 single-family residential construction building permits for an applicant;</w:t>
      </w:r>
    </w:p>
    <w:p>
      <w:pPr>
        <w:ind w:left="0" w:right="0" w:firstLine="360"/>
        <w:jc w:val="both"/>
      </w:pPr>
      <w:r>
        <w:rPr/>
        <w:t xml:space="preserve">(16) Defines "applicant" for purposes of the annual deferral allotment provisions;</w:t>
      </w:r>
    </w:p>
    <w:p>
      <w:pPr>
        <w:ind w:left="0" w:right="0" w:firstLine="360"/>
        <w:jc w:val="both"/>
      </w:pPr>
      <w:r>
        <w:rPr/>
        <w:t xml:space="preserve">(17) Delays the starting of the six-year time frame for satisfying concurrency provisions of the Growth Management Act until after full payment of all impact fees is due to the county, city, or town (rather than after the county, city, or town receives full payment for all impact fees due);</w:t>
      </w:r>
    </w:p>
    <w:p>
      <w:pPr>
        <w:ind w:left="0" w:right="0" w:firstLine="360"/>
        <w:jc w:val="both"/>
      </w:pPr>
      <w:r>
        <w:rPr/>
        <w:t xml:space="preserve">(18) Requires the Joint Legislative Audit and Review Committee to review impact fee deferral requirements, and to submit a report to the appropriate committees of the House of Representatives and the Senate by September 1, 2021; and</w:t>
      </w:r>
    </w:p>
    <w:p>
      <w:pPr>
        <w:ind w:left="0" w:right="0" w:firstLine="360"/>
        <w:jc w:val="both"/>
      </w:pPr>
      <w:r>
        <w:rPr/>
        <w:t xml:space="preserve">(19) Requires the Department of Commerce to, beginning December 1, 2018, prepare annual reports on the impact fee deferral process for submission to the appropriate committees of the House of Representatives and the Senate.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73cdacaef4d2e" /></Relationships>
</file>