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3a6bbd52048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6057-S.E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REYK</w:t>
        </w:r>
      </w:r>
      <w:r>
        <w:rPr>
          <w:b/>
        </w:rPr>
        <w:t xml:space="preserve"> </w:t>
        <w:r>
          <w:rPr/>
          <w:t xml:space="preserve">H2963.1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Reykdal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Taxpayers claiming the tax preference provided in (a) of this subsection, must disclose that they are a recipient of a tax preference provided by the Washington state legislature in a font size and style identical to the font size and style used in a newspaper endorsement for partisan legislative offices. The disclosure must appear on the page immediately following a newspaper endorsement for a state legislative race for any newspaper claiming this tax preference. If a taxpayer chooses not to take the tax preference provided in (a) of this subsection during any part of the year in which a partisan legislative endorsement has been printed, they are not subject to the printed disclosure described herein.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newspapers to disclose they are the recipient of a tax preference in their newspaper, if the newspaper is running a partisan legislative endorsement.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d750d68a04dc7" /></Relationships>
</file>