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27a288b0e4eeb"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BERG</w:t>
        </w:r>
      </w:r>
      <w:r>
        <w:rPr>
          <w:b/>
        </w:rPr>
        <w:t xml:space="preserve"> </w:t>
        <w:r>
          <w:rPr/>
          <w:t xml:space="preserve">H4721.1</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961</w:t>
      </w:r>
    </w:p>
    <w:p>
      <w:pPr>
        <w:spacing w:before="0" w:after="0" w:line="408" w:lineRule="exact"/>
        <w:ind w:left="0" w:right="0" w:firstLine="576"/>
        <w:jc w:val="left"/>
      </w:pPr>
      <w:r>
        <w:rPr/>
        <w:t xml:space="preserve">By Representative Bergquist</w:t>
      </w:r>
    </w:p>
    <w:p>
      <w:pPr>
        <w:jc w:val="right"/>
      </w:pPr>
      <w:r>
        <w:rPr>
          <w:b/>
        </w:rPr>
        <w:t xml:space="preserve">NOT ADOPTED 03/09/2016</w:t>
      </w:r>
    </w:p>
    <w:p>
      <w:pPr>
        <w:spacing w:before="0" w:after="0" w:line="408" w:lineRule="exact"/>
        <w:ind w:left="0" w:right="0" w:firstLine="576"/>
        <w:jc w:val="left"/>
      </w:pPr>
      <w:r>
        <w:rPr/>
        <w:t xml:space="preserve">On page 38, beginning on line 7 of the amendment, strike all of section 302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This act takes effect on the date that the Washington state supreme court issues a mandate in </w:t>
      </w:r>
      <w:r>
        <w:rPr>
          <w:i/>
        </w:rPr>
        <w:t xml:space="preserve">McCleary v. State</w:t>
      </w:r>
      <w:r>
        <w:rPr/>
        <w:t xml:space="preserve"> or other litigation declaring that the state is in compliance with its paramount duty under Article IX, section 1 of the state Constitution to make ample provision for the education of all children residing within its borders, without distinction or preference on account of race, color, caste, or sex. The attorney general must provide notice of the effective date of this act to affected parties, the chief clerk of the house of representatives, the secretary of the senate, the office of the code reviser, and others as deemed appropriate by the attorney general.</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emergency clause making the bill take effect immediately and makes the bill take effect upon a finding from the Washington State Supreme Court declaring that the state is in compliance with its paramount duty under Article IX, section 1 of the state Constitution to make ample provision for the education of all children residing within its borders.</w:t>
      </w:r>
    </w:p>
    <w:p>
      <w:pPr>
        <w:spacing w:before="0" w:after="0" w:line="408" w:lineRule="exact"/>
        <w:ind w:left="0" w:right="0" w:firstLine="576"/>
        <w:jc w:val="left"/>
      </w:pPr>
      <w:r>
        <w:rPr/>
        <w:t xml:space="preserve">(2) Requires the Attorney General to provide notice of the effective date of the act to affected parties, the Chief Clerk of the House of Representatives, the Secretary of the Senate, the Office of the Code Reviser, and others as deemed appropriate by the Attorney General.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ba2d8ad4b492d" /></Relationships>
</file>