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107887fca450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6194-S2.E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GREG</w:t>
        </w:r>
      </w:r>
      <w:r>
        <w:rPr>
          <w:b/>
        </w:rPr>
        <w:t xml:space="preserve"> </w:t>
        <w:r>
          <w:rPr/>
          <w:t xml:space="preserve">H4737.1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6194</w:t>
      </w:r>
      <w:r>
        <w:t xml:space="preserve"> -</w:t>
      </w:r>
      <w:r>
        <w:t xml:space="preserve"> </w:t>
        <w:t xml:space="preserve">H AMD TO H AMD (H-4714.2/16)</w:t>
      </w:r>
      <w:r>
        <w:t xml:space="preserve"> </w:t>
      </w:r>
      <w:r>
        <w:rPr>
          <w:b/>
        </w:rPr>
        <w:t xml:space="preserve">951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Gregerson</w:t>
      </w:r>
    </w:p>
    <w:p>
      <w:pPr>
        <w:jc w:val="right"/>
      </w:pPr>
      <w:r>
        <w:rPr>
          <w:b/>
        </w:rPr>
        <w:t xml:space="preserve">NOT ADOPTED 03/09/2016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27 of the amendment, after "</w:t>
      </w:r>
      <w:r>
        <w:rPr>
          <w:u w:val="single"/>
        </w:rPr>
        <w:t xml:space="preserve">to</w:t>
      </w:r>
      <w:r>
        <w:rPr/>
        <w:t xml:space="preserve">" strike all material through "</w:t>
      </w:r>
      <w:r>
        <w:rPr>
          <w:u w:val="single"/>
        </w:rPr>
        <w:t xml:space="preserve">state</w:t>
      </w:r>
      <w:r>
        <w:rPr/>
        <w:t xml:space="preserve">" on line 32 and insert "</w:t>
      </w:r>
      <w:r>
        <w:rPr>
          <w:u w:val="single"/>
        </w:rPr>
        <w:t xml:space="preserve">at-risk students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Requires, if capacity is insufficient to enroll all students who apply to a charter school, that the charter school grant an enrollment preference to at-risk students.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Removes a provision in the underlying amendment specifying that if capacity is insufficient to enroll all students who apply to a charter school, the school must grant an enrollment preference to siblings, with any remaining enrollments allocated through a lottery.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Removes a provision in the underlying amendment authorizing a charter school to offer a weighted enrollment preference for at-risk students or to children of full-time employees of the school if the children reside within the state.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24059a4904a9d" /></Relationships>
</file>