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7af479d4e44ac" /></Relationships>
</file>

<file path=word/document.xml><?xml version="1.0" encoding="utf-8"?>
<w:document xmlns:w="http://schemas.openxmlformats.org/wordprocessingml/2006/main">
  <w:body>
    <w:p>
      <w:r>
        <w:rPr>
          <w:b/>
        </w:rPr>
        <w:r>
          <w:rPr/>
          <w:t xml:space="preserve">1800-S</w:t>
        </w:r>
      </w:r>
      <w:r>
        <w:rPr>
          <w:b/>
        </w:rPr>
        <w:t xml:space="preserve"> </w:t>
        <w:t xml:space="preserve">AMS</w:t>
      </w:r>
      <w:r>
        <w:rPr>
          <w:b/>
        </w:rPr>
        <w:t xml:space="preserve"> </w:t>
        <w:r>
          <w:rPr/>
          <w:t xml:space="preserve">ENGR</w:t>
        </w:r>
      </w:r>
      <w:r>
        <w:rPr>
          <w:b/>
        </w:rPr>
        <w:t xml:space="preserve"> </w:t>
        <w:r>
          <w:rPr/>
          <w:t xml:space="preserve">S2816.E</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ind w:left="0" w:right="0" w:firstLine="360"/>
        <w:jc w:val="both"/>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 </w:t>
      </w:r>
      <w:r>
        <w:rPr>
          <w:u w:val="single"/>
        </w:rPr>
        <w:t xml:space="preserve">If a child is placed with nonrelatives, at the hearing the court shall also review the status of the department's efforts to locate and place a child with a relative, if such placement is in the child's best interest. If a relative is identified but placement is not found to be in the child's best interest, the court shall establish in writing the reason why that placement is not in the child's best interest.</w:t>
      </w:r>
    </w:p>
    <w:p>
      <w:pPr>
        <w:ind w:left="0" w:right="0" w:firstLine="360"/>
        <w:jc w:val="both"/>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ind w:left="0" w:right="0" w:firstLine="360"/>
        <w:jc w:val="both"/>
      </w:pPr>
      <w:r>
        <w:rPr/>
        <w:t xml:space="preserve">(b) The initial review hearing may be a permanency planning hearing when necessary to meet the time frames set forth in RCW 13.34.145(1)(a) or 13.34.134.</w:t>
      </w:r>
    </w:p>
    <w:p>
      <w:pPr>
        <w:ind w:left="0" w:right="0" w:firstLine="360"/>
        <w:jc w:val="both"/>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ind w:left="0" w:right="0" w:firstLine="360"/>
        <w:jc w:val="both"/>
      </w:pPr>
      <w:r>
        <w:rPr/>
        <w:t xml:space="preserve">(b) Prior to the child returning home, the department or supervising agency must complete the following:</w:t>
      </w:r>
    </w:p>
    <w:p>
      <w:pPr>
        <w:ind w:left="0" w:right="0" w:firstLine="360"/>
        <w:jc w:val="both"/>
      </w:pPr>
      <w:r>
        <w:rPr/>
        <w:t xml:space="preserve">(i) Identify all adults residing in the home and conduct background checks on those persons;</w:t>
      </w:r>
    </w:p>
    <w:p>
      <w:pPr>
        <w:ind w:left="0" w:right="0" w:firstLine="360"/>
        <w:jc w:val="both"/>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ind w:left="0" w:right="0" w:firstLine="360"/>
        <w:jc w:val="both"/>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ind w:left="0" w:right="0" w:firstLine="360"/>
        <w:jc w:val="both"/>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ind w:left="0" w:right="0" w:firstLine="360"/>
        <w:jc w:val="both"/>
      </w:pPr>
      <w:r>
        <w:rPr/>
        <w:t xml:space="preserve">(c) If the child is not returned home, the court shall establish in writing:</w:t>
      </w:r>
    </w:p>
    <w:p>
      <w:pPr>
        <w:ind w:left="0" w:right="0" w:firstLine="360"/>
        <w:jc w:val="both"/>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ind w:left="0" w:right="0" w:firstLine="360"/>
        <w:jc w:val="both"/>
      </w:pPr>
      <w:r>
        <w:rPr/>
        <w:t xml:space="preserve">(ii) Whether there has been compliance with the case plan by the child, the child's parents, and the agency supervising the placement;</w:t>
      </w:r>
    </w:p>
    <w:p>
      <w:pPr>
        <w:ind w:left="0" w:right="0" w:firstLine="360"/>
        <w:jc w:val="both"/>
      </w:pPr>
      <w:r>
        <w:rPr/>
        <w:t xml:space="preserve">(iii) Whether progress has been made toward correcting the problems that necessitated the child's placement in out-of-home care;</w:t>
      </w:r>
    </w:p>
    <w:p>
      <w:pPr>
        <w:ind w:left="0" w:right="0" w:firstLine="360"/>
        <w:jc w:val="both"/>
      </w:pPr>
      <w:r>
        <w:rPr/>
        <w:t xml:space="preserve">(iv) Whether the services set forth in the case plan and the responsibilities of the parties need to be clarified or modified due to the availability of additional information or changed circumstances;</w:t>
      </w:r>
    </w:p>
    <w:p>
      <w:pPr>
        <w:ind w:left="0" w:right="0" w:firstLine="360"/>
        <w:jc w:val="both"/>
      </w:pPr>
      <w:r>
        <w:rPr/>
        <w:t xml:space="preserve">(v) Whether there is a continuing need for placement;</w:t>
      </w:r>
    </w:p>
    <w:p>
      <w:pPr>
        <w:ind w:left="0" w:right="0" w:firstLine="360"/>
        <w:jc w:val="both"/>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ind w:left="0" w:right="0" w:firstLine="360"/>
        <w:jc w:val="both"/>
      </w:pPr>
      <w:r>
        <w:rPr/>
        <w:t xml:space="preserve">(vii) Whether the child is in an appropriate placement which adequately meets all physical, emotional, and educational needs;</w:t>
      </w:r>
    </w:p>
    <w:p>
      <w:pPr>
        <w:ind w:left="0" w:right="0" w:firstLine="360"/>
        <w:jc w:val="both"/>
      </w:pPr>
      <w:r>
        <w:rPr/>
        <w:t xml:space="preserve">(viii) Whether preference has been given to placement with the child's relatives if such placement is in the child's best interests;</w:t>
      </w:r>
    </w:p>
    <w:p>
      <w:pPr>
        <w:ind w:left="0" w:right="0" w:firstLine="360"/>
        <w:jc w:val="both"/>
      </w:pPr>
      <w:r>
        <w:rPr/>
        <w:t xml:space="preserve">(ix) </w:t>
      </w:r>
      <w:r>
        <w:rPr>
          <w:u w:val="single"/>
        </w:rPr>
        <w:t xml:space="preserve">Whether preference has been given to placement with the child's biological family, including grandparents, if such placement is in the child's best interests;</w:t>
      </w:r>
    </w:p>
    <w:p>
      <w:pPr>
        <w:ind w:left="0" w:right="0" w:firstLine="360"/>
        <w:jc w:val="both"/>
      </w:pPr>
      <w:r>
        <w:rPr>
          <w:u w:val="single"/>
        </w:rPr>
        <w:t xml:space="preserve">(x)</w:t>
      </w:r>
      <w:r>
        <w:rPr/>
        <w:t xml:space="preserve"> Whether both in-state and, where appropriate, out-of-state placements have been considered;</w:t>
      </w:r>
    </w:p>
    <w:p>
      <w:pPr>
        <w:ind w:left="0" w:right="0" w:firstLine="360"/>
        <w:jc w:val="both"/>
      </w:pPr>
      <w:r>
        <w:t>((</w:t>
      </w:r>
      <w:r>
        <w:rPr>
          <w:strike/>
        </w:rPr>
        <w:t xml:space="preserve">(x)</w:t>
      </w:r>
      <w:r>
        <w:t>))</w:t>
      </w:r>
      <w:r>
        <w:rPr/>
        <w:t xml:space="preserve"> </w:t>
      </w:r>
      <w:r>
        <w:rPr>
          <w:u w:val="single"/>
        </w:rPr>
        <w:t xml:space="preserve">(xi)</w:t>
      </w:r>
      <w:r>
        <w:rPr/>
        <w:t xml:space="preserve"> Whether the parents have visited the child and any reasons why visitation has not occurred or has been infrequent;</w:t>
      </w:r>
    </w:p>
    <w:p>
      <w:pPr>
        <w:ind w:left="0" w:right="0" w:firstLine="360"/>
        <w:jc w:val="both"/>
      </w:pPr>
      <w:r>
        <w:t>((</w:t>
      </w:r>
      <w:r>
        <w:rPr>
          <w:strike/>
        </w:rPr>
        <w:t xml:space="preserve">(xi)</w:t>
      </w:r>
      <w:r>
        <w:t>))</w:t>
      </w:r>
      <w:r>
        <w:rPr/>
        <w:t xml:space="preserve"> </w:t>
      </w:r>
      <w:r>
        <w:rPr>
          <w:u w:val="single"/>
        </w:rPr>
        <w:t xml:space="preserve">(xii)</w:t>
      </w:r>
      <w:r>
        <w:rPr/>
        <w:t xml:space="preserve"> Whether terms of visitation need to be modified;</w:t>
      </w:r>
    </w:p>
    <w:p>
      <w:pPr>
        <w:ind w:left="0" w:right="0" w:firstLine="360"/>
        <w:jc w:val="both"/>
      </w:pPr>
      <w:r>
        <w:t>((</w:t>
      </w:r>
      <w:r>
        <w:rPr>
          <w:strike/>
        </w:rPr>
        <w:t xml:space="preserve">(xii)</w:t>
      </w:r>
      <w:r>
        <w:t>))</w:t>
      </w:r>
      <w:r>
        <w:rPr/>
        <w:t xml:space="preserve"> </w:t>
      </w:r>
      <w:r>
        <w:rPr>
          <w:u w:val="single"/>
        </w:rPr>
        <w:t xml:space="preserve">(xiii)</w:t>
      </w:r>
      <w:r>
        <w:rPr/>
        <w:t xml:space="preserve"> Whether the court-approved long-term permanent plan for the child remains the best plan for the child;</w:t>
      </w:r>
    </w:p>
    <w:p>
      <w:pPr>
        <w:ind w:left="0" w:right="0" w:firstLine="360"/>
        <w:jc w:val="both"/>
      </w:pPr>
      <w:r>
        <w:t>((</w:t>
      </w:r>
      <w:r>
        <w:rPr>
          <w:strike/>
        </w:rPr>
        <w:t xml:space="preserve">(xiii)</w:t>
      </w:r>
      <w:r>
        <w:t>))</w:t>
      </w:r>
      <w:r>
        <w:rPr/>
        <w:t xml:space="preserve"> </w:t>
      </w:r>
      <w:r>
        <w:rPr>
          <w:u w:val="single"/>
        </w:rPr>
        <w:t xml:space="preserve">(xiv)</w:t>
      </w:r>
      <w:r>
        <w:rPr/>
        <w:t xml:space="preserve"> Whether any additional court orders need to be made to move the case toward permanency; and</w:t>
      </w:r>
    </w:p>
    <w:p>
      <w:pPr>
        <w:ind w:left="0" w:right="0" w:firstLine="360"/>
        <w:jc w:val="both"/>
      </w:pPr>
      <w:r>
        <w:t>((</w:t>
      </w:r>
      <w:r>
        <w:rPr>
          <w:strike/>
        </w:rPr>
        <w:t xml:space="preserve">(xiv)</w:t>
      </w:r>
      <w:r>
        <w:t>))</w:t>
      </w:r>
      <w:r>
        <w:rPr/>
        <w:t xml:space="preserve"> </w:t>
      </w:r>
      <w:r>
        <w:rPr>
          <w:u w:val="single"/>
        </w:rPr>
        <w:t xml:space="preserve">(xv)</w:t>
      </w:r>
      <w:r>
        <w:rPr/>
        <w:t xml:space="preserve"> The projected date by which the child will be returned home or other permanent plan of care will be implemented.</w:t>
      </w:r>
    </w:p>
    <w:p>
      <w:pPr>
        <w:ind w:left="0" w:right="0" w:firstLine="360"/>
        <w:jc w:val="both"/>
      </w:pPr>
      <w:r>
        <w:rPr/>
        <w:t xml:space="preserve">(d) The court at the review hearing may order that a petition seeking termination of the parent and child relationship be filed. </w:t>
      </w:r>
      <w:r>
        <w:rPr>
          <w:u w:val="single"/>
        </w:rPr>
        <w:t xml:space="preserve">If the court determines that the child has been in out-of-home care for at least twelve consecutive months following the filing of a dependency petition and the parent has had no contact with the department or any service providers identified in the department's case plan, the court shall order that a petition seeking termination of parent and child relationship be filed unless the court makes a good cause exception based on the factors described in RCW 13.34.145.</w:t>
      </w:r>
    </w:p>
    <w:p>
      <w:pPr>
        <w:ind w:left="0" w:right="0" w:firstLine="360"/>
        <w:jc w:val="both"/>
      </w:pPr>
      <w:r>
        <w:rPr/>
        <w:t xml:space="preserve">(3)(a) In any case in which the court orders that a dependent child may be returned to or remain in the child's home, the in-home placement shall be contingent upon the following:</w:t>
      </w:r>
    </w:p>
    <w:p>
      <w:pPr>
        <w:ind w:left="0" w:right="0" w:firstLine="360"/>
        <w:jc w:val="both"/>
      </w:pPr>
      <w:r>
        <w:rPr/>
        <w:t xml:space="preserve">(i) The compliance of the parents with court orders related to the care and supervision of the child, including compliance with the supervising agency's case plan; and</w:t>
      </w:r>
    </w:p>
    <w:p>
      <w:pPr>
        <w:ind w:left="0" w:right="0" w:firstLine="360"/>
        <w:jc w:val="both"/>
      </w:pPr>
      <w:r>
        <w:rPr/>
        <w:t xml:space="preserve">(ii) The continued participation of the parents, if applicable, in available substance abuse or mental health treatment if substance abuse or mental illness was a contributing factor to the removal of the child.</w:t>
      </w:r>
    </w:p>
    <w:p>
      <w:pPr>
        <w:ind w:left="0" w:right="0" w:firstLine="360"/>
        <w:jc w:val="both"/>
      </w:pPr>
      <w:r>
        <w:rPr/>
        <w:t xml:space="preserve">(b) The following may be grounds for removal of the child from the home, subject to review by the court:</w:t>
      </w:r>
    </w:p>
    <w:p>
      <w:pPr>
        <w:ind w:left="0" w:right="0" w:firstLine="360"/>
        <w:jc w:val="both"/>
      </w:pPr>
      <w:r>
        <w:rPr/>
        <w:t xml:space="preserve">(i) Noncompliance by the parents with the department's or supervising agency's case plan or court order;</w:t>
      </w:r>
    </w:p>
    <w:p>
      <w:pPr>
        <w:ind w:left="0" w:right="0" w:firstLine="360"/>
        <w:jc w:val="both"/>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ind w:left="0" w:right="0" w:firstLine="360"/>
        <w:jc w:val="both"/>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ind w:left="0" w:right="0" w:firstLine="360"/>
        <w:jc w:val="both"/>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ind w:left="0" w:right="0" w:firstLine="360"/>
        <w:jc w:val="both"/>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ind w:left="0" w:right="0" w:firstLine="360"/>
        <w:jc w:val="both"/>
      </w:pPr>
      <w:r>
        <w:rPr/>
        <w:t xml:space="preserve">(5) The court shall consider the child's relationship with siblings in accordance with RCW 13.34.130((</w:t>
      </w:r>
      <w:r>
        <w:rPr>
          <w:strike/>
        </w:rPr>
        <w:t xml:space="preserve">(3)</w:t>
      </w:r>
      <w:r>
        <w:rPr/>
        <w:t xml:space="preserve">)) </w:t>
      </w:r>
      <w:r>
        <w:rPr>
          <w:u w:val="single"/>
        </w:rPr>
        <w:t xml:space="preserve">(6)</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ind w:left="0" w:right="0" w:firstLine="360"/>
        <w:jc w:val="both"/>
      </w:pPr>
      <w:r>
        <w:rPr/>
        <w:t xml:space="preserve">(1) Upon the filing of the petition, the clerk of the court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ind w:left="0" w:right="0" w:firstLine="360"/>
        <w:jc w:val="both"/>
      </w:pPr>
      <w:r>
        <w:rPr/>
        <w:t xml:space="preserve">(2) A copy of the petition shall be attached to each summons.</w:t>
      </w:r>
    </w:p>
    <w:p>
      <w:pPr>
        <w:ind w:left="0" w:right="0" w:firstLine="360"/>
        <w:jc w:val="both"/>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ind w:left="0" w:right="0" w:firstLine="360"/>
        <w:jc w:val="both"/>
      </w:pPr>
      <w:r>
        <w:rPr/>
        <w:t xml:space="preserve">(4) The summons shall advise the parents that they may be held responsible for the support of the child if the child is placed in out-of-home care.</w:t>
      </w:r>
    </w:p>
    <w:p>
      <w:pPr>
        <w:ind w:left="0" w:right="0" w:firstLine="360"/>
        <w:jc w:val="both"/>
      </w:pPr>
      <w:r>
        <w:rPr/>
        <w:t xml:space="preserve">(5) </w:t>
      </w:r>
      <w:r>
        <w:rPr>
          <w:u w:val="single"/>
        </w:rPr>
        <w:t xml:space="preserve">The summons shall advise the parents that if the court finds the child to be a dependent and the parents have no contact with the department or any service providers identified in the department's case plan, the court shall order that a petition seeking termination of parent and child relationship be filed if the child has been in out-of-home care for at least twelve consecutive months following the filing of a dependency petition, unless the court makes a good cause exception based on the factors described in RCW 13.34.145.</w:t>
      </w:r>
    </w:p>
    <w:p>
      <w:pPr>
        <w:ind w:left="0" w:right="0" w:firstLine="360"/>
        <w:jc w:val="both"/>
      </w:pPr>
      <w:r>
        <w:rPr>
          <w:u w:val="single"/>
        </w:rPr>
        <w:t xml:space="preserve">(6)</w:t>
      </w:r>
      <w:r>
        <w:rPr/>
        <w:t xml:space="preserve"> The judge may endorse upon the summons an order directing any parent, guardian, or custodian having the custody or control of the child to bring the child to the hearing.</w:t>
      </w:r>
    </w:p>
    <w:p>
      <w:pPr>
        <w:ind w:left="0" w:right="0" w:firstLine="360"/>
        <w:jc w:val="both"/>
      </w:pPr>
      <w:r>
        <w:t>((</w:t>
      </w:r>
      <w:r>
        <w:rPr>
          <w:strike/>
        </w:rPr>
        <w:t xml:space="preserve">(6)</w:t>
      </w:r>
      <w:r>
        <w:t>))</w:t>
      </w:r>
      <w:r>
        <w:rPr/>
        <w:t xml:space="preserve"> </w:t>
      </w:r>
      <w:r>
        <w:rPr>
          <w:u w:val="single"/>
        </w:rPr>
        <w:t xml:space="preserve">(7)</w:t>
      </w:r>
      <w:r>
        <w:rPr/>
        <w:t xml:space="preserve">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ind w:left="0" w:right="0" w:firstLine="360"/>
        <w:jc w:val="both"/>
      </w:pPr>
      <w:r>
        <w:t>((</w:t>
      </w:r>
      <w:r>
        <w:rPr>
          <w:strike/>
        </w:rPr>
        <w:t xml:space="preserve">(7)</w:t>
      </w:r>
      <w:r>
        <w:t>))</w:t>
      </w:r>
      <w:r>
        <w:rPr/>
        <w:t xml:space="preserve"> </w:t>
      </w:r>
      <w:r>
        <w:rPr>
          <w:u w:val="single"/>
        </w:rPr>
        <w:t xml:space="preserve">(8)</w:t>
      </w:r>
      <w:r>
        <w:rPr/>
        <w:t xml:space="preserve"> If the person summoned as provided in this section is subject to an order of the court pursuant to subsection </w:t>
      </w:r>
      <w:r>
        <w:t>((</w:t>
      </w:r>
      <w:r>
        <w:rPr>
          <w:strike/>
        </w:rPr>
        <w:t xml:space="preserve">(5) or</w:t>
      </w:r>
      <w:r>
        <w:t>))</w:t>
      </w:r>
      <w:r>
        <w:rPr/>
        <w:t xml:space="preserve"> (6) </w:t>
      </w:r>
      <w:r>
        <w:rPr>
          <w:u w:val="single"/>
        </w:rPr>
        <w:t xml:space="preserve">or (7)</w:t>
      </w:r>
      <w:r>
        <w:rPr/>
        <w:t xml:space="preserve"> of this section, and if the person fails to abide by the order, he or she may be proceeded against as for contempt of court. The order endorsed upon the summons shall conspicuously display the following legend:</w:t>
      </w:r>
    </w:p>
    <w:p>
      <w:pPr>
        <w:ind w:left="0" w:right="0" w:firstLine="360"/>
        <w:jc w:val="center"/>
      </w:pPr>
      <w:r>
        <w:rPr/>
        <w:t xml:space="preserve">NOTICE:</w:t>
      </w:r>
    </w:p>
    <w:p>
      <w:pPr>
        <w:ind w:left="0" w:right="0" w:firstLine="360"/>
        <w:jc w:val="center"/>
      </w:pPr>
      <w:r>
        <w:rPr/>
        <w:t xml:space="preserve">VIOLATION OF THIS ORDER</w:t>
      </w:r>
    </w:p>
    <w:p>
      <w:pPr>
        <w:ind w:left="0" w:right="0" w:firstLine="360"/>
        <w:jc w:val="center"/>
      </w:pPr>
      <w:r>
        <w:rPr/>
        <w:t xml:space="preserve">IS SUBJECT TO PROCEEDING</w:t>
      </w:r>
    </w:p>
    <w:p>
      <w:pPr>
        <w:ind w:left="0" w:right="0" w:firstLine="360"/>
        <w:jc w:val="center"/>
      </w:pPr>
      <w:r>
        <w:rPr/>
        <w:t xml:space="preserve">FOR CONTEMPT OF COURT</w:t>
      </w:r>
    </w:p>
    <w:p>
      <w:pPr>
        <w:ind w:left="0" w:right="0" w:firstLine="360"/>
        <w:jc w:val="center"/>
      </w:pPr>
      <w:r>
        <w:rPr/>
        <w:t xml:space="preserve">PURSUANT TO RCW 13.34.070.</w:t>
      </w:r>
    </w:p>
    <w:p>
      <w:pPr>
        <w:ind w:left="0" w:right="0" w:firstLine="360"/>
        <w:jc w:val="both"/>
      </w:pPr>
      <w:r>
        <w:t>((</w:t>
      </w:r>
      <w:r>
        <w:rPr>
          <w:strike/>
        </w:rPr>
        <w:t xml:space="preserve">(8)</w:t>
      </w:r>
      <w:r>
        <w:t>))</w:t>
      </w:r>
      <w:r>
        <w:rPr/>
        <w:t xml:space="preserve"> </w:t>
      </w:r>
      <w:r>
        <w:rPr>
          <w:u w:val="single"/>
        </w:rPr>
        <w:t xml:space="preserve">(9)</w:t>
      </w:r>
      <w:r>
        <w:rPr/>
        <w:t xml:space="preserve">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ind w:left="0" w:right="0" w:firstLine="360"/>
        <w:jc w:val="both"/>
      </w:pPr>
      <w:r>
        <w:t>((</w:t>
      </w:r>
      <w:r>
        <w:rPr>
          <w:strike/>
        </w:rPr>
        <w:t xml:space="preserve">(9)</w:t>
      </w:r>
      <w:r>
        <w:t>))</w:t>
      </w:r>
      <w:r>
        <w:rPr/>
        <w:t xml:space="preserve"> </w:t>
      </w:r>
      <w:r>
        <w:rPr>
          <w:u w:val="single"/>
        </w:rPr>
        <w:t xml:space="preserve">(10)</w:t>
      </w:r>
      <w:r>
        <w:rPr/>
        <w:t xml:space="preserve"> Service of summons may be made under the direction of the court by any person eighteen years of age or older who is not a party to the proceedings or by any law enforcement officer, probation counselor, or department employee.</w:t>
      </w:r>
    </w:p>
    <w:p>
      <w:pPr>
        <w:ind w:left="0" w:right="0" w:firstLine="360"/>
        <w:jc w:val="both"/>
      </w:pPr>
      <w:r>
        <w:t>((</w:t>
      </w:r>
      <w:r>
        <w:rPr>
          <w:strike/>
        </w:rPr>
        <w:t xml:space="preserve">(10)</w:t>
      </w:r>
      <w:r>
        <w:t>))</w:t>
      </w:r>
      <w:r>
        <w:rPr/>
        <w:t xml:space="preserve"> </w:t>
      </w:r>
      <w:r>
        <w:rPr>
          <w:u w:val="single"/>
        </w:rPr>
        <w:t xml:space="preserve">(11)</w:t>
      </w:r>
      <w:r>
        <w:rPr/>
        <w:t xml:space="preserve">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4/15/2015</w:t>
      </w:r>
    </w:p>
    <w:p>
      <w:pPr>
        <w:ind w:left="0" w:right="0" w:firstLine="360"/>
        <w:jc w:val="both"/>
      </w:pPr>
      <w:r>
        <w:rPr/>
        <w:t xml:space="preserve">On page 1, line 2 of the title, after "rights;" strike the remainder of the title and insert "amending RCW 13.34.070; and reenacting and amending RCW 13.34.138."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868b9f94c48b6" /></Relationships>
</file>