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E2054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668FF">
            <w:t>2524-S.E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668F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668FF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668FF">
            <w:t>GAMB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668FF">
            <w:t>170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2054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668FF">
            <w:rPr>
              <w:b/>
              <w:u w:val="single"/>
            </w:rPr>
            <w:t>ESHB 2524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668FF" w:rsidR="009668FF">
            <w:t>S AMD TO S-5060.4/16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744</w:t>
          </w:r>
        </w:sdtContent>
      </w:sdt>
    </w:p>
    <w:p w:rsidR="00DF5D0E" w:rsidP="00605C39" w:rsidRDefault="00E2054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668FF">
            <w:t>By Senators Hasegawa, Benton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668F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03/08/2016</w:t>
          </w:r>
        </w:p>
      </w:sdtContent>
    </w:sdt>
    <w:p w:rsidRPr="00913329" w:rsidR="00016DC8" w:rsidP="00016DC8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868945204"/>
      <w:r>
        <w:tab/>
      </w:r>
      <w:r w:rsidRPr="00913329" w:rsidR="00016DC8">
        <w:rPr>
          <w:spacing w:val="0"/>
        </w:rPr>
        <w:t>On page 36, line 30 of the amendment, strike "</w:t>
      </w:r>
      <w:r w:rsidRPr="00913329" w:rsidR="00016DC8">
        <w:rPr>
          <w:spacing w:val="0"/>
          <w:u w:val="single"/>
        </w:rPr>
        <w:t>$72,930,000</w:t>
      </w:r>
      <w:r w:rsidRPr="00913329" w:rsidR="00016DC8">
        <w:rPr>
          <w:spacing w:val="0"/>
        </w:rPr>
        <w:t>", and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insert "</w:t>
      </w:r>
      <w:r w:rsidRPr="00913329">
        <w:rPr>
          <w:spacing w:val="0"/>
          <w:u w:val="single"/>
        </w:rPr>
        <w:t>$73,130,000</w:t>
      </w:r>
      <w:r w:rsidRPr="00913329">
        <w:rPr>
          <w:spacing w:val="0"/>
        </w:rPr>
        <w:t>"</w:t>
      </w:r>
    </w:p>
    <w:p w:rsidRPr="00913329" w:rsidR="00016DC8" w:rsidP="00016DC8" w:rsidRDefault="00016DC8">
      <w:pPr>
        <w:pStyle w:val="RCWSLText"/>
        <w:rPr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On page 36, line 35 of the amendment, strike "</w:t>
      </w:r>
      <w:r w:rsidRPr="00913329">
        <w:rPr>
          <w:spacing w:val="0"/>
          <w:u w:val="single"/>
        </w:rPr>
        <w:t>$172,686,000</w:t>
      </w:r>
      <w:r w:rsidRPr="00913329">
        <w:rPr>
          <w:spacing w:val="0"/>
        </w:rPr>
        <w:t>" and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insert "</w:t>
      </w:r>
      <w:r w:rsidRPr="00913329">
        <w:rPr>
          <w:spacing w:val="0"/>
          <w:u w:val="single"/>
        </w:rPr>
        <w:t>$172,886,000</w:t>
      </w:r>
      <w:r w:rsidRPr="00913329">
        <w:rPr>
          <w:spacing w:val="0"/>
        </w:rPr>
        <w:t>"</w:t>
      </w:r>
    </w:p>
    <w:p w:rsidRPr="00913329" w:rsidR="00016DC8" w:rsidP="00016DC8" w:rsidRDefault="00016DC8">
      <w:pPr>
        <w:pStyle w:val="RCWSLText"/>
        <w:rPr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On page 41, after line 3 of the amendment, insert the following:</w:t>
      </w:r>
    </w:p>
    <w:p w:rsidRPr="00913329" w:rsidR="00016DC8" w:rsidP="00016DC8" w:rsidRDefault="00016DC8">
      <w:pPr>
        <w:pStyle w:val="RCWSLText"/>
        <w:rPr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  <w:u w:val="single"/>
        </w:rPr>
      </w:pPr>
      <w:r>
        <w:rPr>
          <w:spacing w:val="0"/>
        </w:rPr>
        <w:tab/>
      </w:r>
      <w:r w:rsidRPr="00913329">
        <w:rPr>
          <w:spacing w:val="0"/>
        </w:rPr>
        <w:t>"</w:t>
      </w:r>
      <w:r w:rsidRPr="00913329">
        <w:rPr>
          <w:spacing w:val="0"/>
          <w:u w:val="single"/>
        </w:rPr>
        <w:t>(13) $200,000 of the multimodal transportation account--state</w:t>
      </w:r>
    </w:p>
    <w:p w:rsidRPr="00913329" w:rsidR="00016DC8" w:rsidP="00016DC8" w:rsidRDefault="00016DC8">
      <w:pPr>
        <w:pStyle w:val="RCWSLText"/>
        <w:rPr>
          <w:spacing w:val="0"/>
          <w:u w:val="single"/>
        </w:rPr>
      </w:pPr>
      <w:r w:rsidRPr="00913329">
        <w:rPr>
          <w:spacing w:val="0"/>
          <w:u w:val="single"/>
        </w:rPr>
        <w:t>appropriation is provided solely for the city of Seattle to cover the</w:t>
      </w:r>
      <w:r>
        <w:rPr>
          <w:spacing w:val="0"/>
          <w:u w:val="single"/>
        </w:rPr>
        <w:t xml:space="preserve"> </w:t>
      </w:r>
      <w:r w:rsidRPr="00913329">
        <w:rPr>
          <w:spacing w:val="0"/>
          <w:u w:val="single"/>
        </w:rPr>
        <w:t xml:space="preserve">costs of </w:t>
      </w:r>
      <w:r>
        <w:rPr>
          <w:spacing w:val="0"/>
          <w:u w:val="single"/>
        </w:rPr>
        <w:t>administering</w:t>
      </w:r>
      <w:r w:rsidRPr="00913329">
        <w:rPr>
          <w:spacing w:val="0"/>
          <w:u w:val="single"/>
        </w:rPr>
        <w:t xml:space="preserve"> restricted parking zones in the</w:t>
      </w:r>
    </w:p>
    <w:p w:rsidRPr="00913329" w:rsidR="00016DC8" w:rsidP="00016DC8" w:rsidRDefault="00016DC8">
      <w:pPr>
        <w:pStyle w:val="RCWSLText"/>
        <w:rPr>
          <w:spacing w:val="0"/>
          <w:u w:val="single"/>
        </w:rPr>
      </w:pPr>
      <w:r w:rsidRPr="00913329">
        <w:rPr>
          <w:spacing w:val="0"/>
          <w:u w:val="single"/>
        </w:rPr>
        <w:t>vicinity of existing regional transit authority facilities in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  <w:u w:val="single"/>
        </w:rPr>
        <w:t>Seattle.</w:t>
      </w:r>
      <w:r>
        <w:rPr>
          <w:spacing w:val="0"/>
          <w:u w:val="single"/>
        </w:rPr>
        <w:t xml:space="preserve"> The city shall provide restricted parking zone permits at no cost to residents of existing restricted parking zones in the vicinity of regional transit authority facilities in Seattle.</w:t>
      </w:r>
      <w:r w:rsidRPr="00913329">
        <w:rPr>
          <w:spacing w:val="0"/>
        </w:rPr>
        <w:t>"</w:t>
      </w:r>
    </w:p>
    <w:p w:rsidRPr="00913329" w:rsidR="00016DC8" w:rsidP="00016DC8" w:rsidRDefault="00016DC8">
      <w:pPr>
        <w:pStyle w:val="RCWSLText"/>
        <w:rPr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On page 84, after line 7 of the amendment, insert the following:</w:t>
      </w:r>
    </w:p>
    <w:p w:rsidR="00016DC8" w:rsidP="00016DC8" w:rsidRDefault="00016DC8">
      <w:pPr>
        <w:pStyle w:val="RCWSLText"/>
        <w:rPr>
          <w:b/>
          <w:bCs/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b/>
          <w:bCs/>
          <w:spacing w:val="0"/>
        </w:rPr>
        <w:tab/>
      </w:r>
      <w:r w:rsidRPr="00913329">
        <w:rPr>
          <w:b/>
          <w:bCs/>
          <w:spacing w:val="0"/>
        </w:rPr>
        <w:t xml:space="preserve">"Sec. 702. </w:t>
      </w:r>
      <w:r w:rsidRPr="00913329">
        <w:rPr>
          <w:spacing w:val="0"/>
        </w:rPr>
        <w:t>RCW 82.08.809 and 2015 3rd sp.s. c 44 s 408 are each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amended to read as follows:</w:t>
      </w: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(1) Except as provided in subsection (4) of this section, the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tax levied by RCW 82.08.020 does not apply to sales of new passenger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cars, light duty trucks, and medium duty passenger vehicles, which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(a) are exclusively powered by a clean alternative fuel or (b) use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at least one method of propulsion that is capable of being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reenergized by an external source of electricity and are capable of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lastRenderedPageBreak/>
        <w:t>traveling at least thirty miles using only battery power.</w:t>
      </w: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(2) The seller must keep records necessary for the department to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verify eligibility under this section.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 xml:space="preserve"> </w:t>
      </w:r>
      <w:r>
        <w:rPr>
          <w:spacing w:val="0"/>
        </w:rPr>
        <w:tab/>
      </w:r>
      <w:r w:rsidRPr="00913329">
        <w:rPr>
          <w:spacing w:val="0"/>
        </w:rPr>
        <w:t>(3) As used in this section, "clean alternative fuel" means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natural gas, propane, hydrogen, or electricity, when used as a fuel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in a motor vehicle that meets the California motor vehicle emission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standards in Title 13 of the California code of regulations,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effective January 1, 2005, and the rules of the Washington state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department of ecology.</w:t>
      </w: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(4)(a) A sale, other than a lease, is not exempt from sales tax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as described under subsection (1) of this section if the selling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price of the vehicle plus trade-in property of like kind exceeds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thirty-five thousand dollars.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(b) For leased vehicles for which the lease agreement is signed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on or after July 15, 2015, lease payments are not exempt from sales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tax as described under subsection (1) of this section if the fair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market value of the vehicle being leased exceeds thirty-five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thousand dollars at the inception of the lease. For the purposes of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this subsection (4)(b), "fair market value" has the same meaning as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"value of the article used" in RCW 82.12.010.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(c) For leased vehicles for which the lease agreement was signed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before July 15, 2015, lease payments are exempt from sales tax as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described under subsection (1) of this section regardless of the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vehicle's fair market value at the inception of the lease.</w:t>
      </w: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(5) On the last day of January, April, July, and October of each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year, the state treasurer, based upon information provided by the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department, must transfer from the multimodal transportation account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to the general fund a sum equal to the dollar amount that would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otherwise have been deposited into the general fund during the prior</w:t>
      </w:r>
    </w:p>
    <w:p w:rsidRPr="00206666" w:rsidR="00016DC8" w:rsidP="00016DC8" w:rsidRDefault="00016DC8">
      <w:pPr>
        <w:pStyle w:val="RCWSLText"/>
        <w:rPr>
          <w:spacing w:val="0"/>
          <w:u w:val="single"/>
        </w:rPr>
      </w:pPr>
      <w:r w:rsidRPr="00913329">
        <w:rPr>
          <w:spacing w:val="0"/>
        </w:rPr>
        <w:t>calendar quarter but for the exemption provided in this section</w:t>
      </w:r>
      <w:r w:rsidRPr="00206666">
        <w:rPr>
          <w:spacing w:val="0"/>
          <w:u w:val="single"/>
        </w:rPr>
        <w:t>,</w:t>
      </w:r>
    </w:p>
    <w:p w:rsidRPr="00206666" w:rsidR="00016DC8" w:rsidP="00016DC8" w:rsidRDefault="00016DC8">
      <w:pPr>
        <w:pStyle w:val="RCWSLText"/>
        <w:rPr>
          <w:spacing w:val="0"/>
          <w:u w:val="single"/>
        </w:rPr>
      </w:pPr>
      <w:r w:rsidRPr="00206666">
        <w:rPr>
          <w:spacing w:val="0"/>
          <w:u w:val="single"/>
        </w:rPr>
        <w:t>except during the 2015-17 fiscal biennium the first two hundred</w:t>
      </w:r>
    </w:p>
    <w:p w:rsidRPr="00206666" w:rsidR="00016DC8" w:rsidP="00016DC8" w:rsidRDefault="00016DC8">
      <w:pPr>
        <w:pStyle w:val="RCWSLText"/>
        <w:rPr>
          <w:spacing w:val="0"/>
          <w:u w:val="single"/>
        </w:rPr>
      </w:pPr>
      <w:r w:rsidRPr="00206666">
        <w:rPr>
          <w:spacing w:val="0"/>
          <w:u w:val="single"/>
        </w:rPr>
        <w:t>thousand dollars must be held in the multimodal transportation</w:t>
      </w:r>
    </w:p>
    <w:p w:rsidRPr="00206666" w:rsidR="00016DC8" w:rsidP="00016DC8" w:rsidRDefault="00016DC8">
      <w:pPr>
        <w:pStyle w:val="RCWSLText"/>
        <w:rPr>
          <w:spacing w:val="0"/>
          <w:u w:val="single"/>
        </w:rPr>
      </w:pPr>
      <w:r w:rsidRPr="00206666">
        <w:rPr>
          <w:spacing w:val="0"/>
          <w:u w:val="single"/>
        </w:rPr>
        <w:t>account and be appropriated solely for the purposes identified in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206666">
        <w:rPr>
          <w:spacing w:val="0"/>
          <w:u w:val="single"/>
        </w:rPr>
        <w:t>section 220 (13) of this act</w:t>
      </w:r>
      <w:r w:rsidRPr="00206666">
        <w:rPr>
          <w:spacing w:val="0"/>
        </w:rPr>
        <w:t>.</w:t>
      </w:r>
      <w:r w:rsidRPr="00913329">
        <w:rPr>
          <w:spacing w:val="0"/>
        </w:rPr>
        <w:t xml:space="preserve"> Information provided by the department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lastRenderedPageBreak/>
        <w:t>to the state treasurer must be based on the best available data,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except that the department may provide estimates of taxes exempted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under this section until such time as retailers are able to report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such exempted amounts on their tax returns. For purposes of this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section, the first transfer for the calendar quarter after July 15,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2015, must be calculated assuming only those revenues that should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have been deposited into the general fund beginning July 1, 2015.</w:t>
      </w: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(6) Lease payments due on or after July 1, 2019, are subject to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the taxes imposed under this chapter.</w:t>
      </w: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(7) This section expires July 1, 2019."</w:t>
      </w:r>
    </w:p>
    <w:p w:rsidRPr="00913329" w:rsidR="00016DC8" w:rsidP="00016DC8" w:rsidRDefault="00016DC8">
      <w:pPr>
        <w:pStyle w:val="RCWSLText"/>
        <w:rPr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Renumber the remaining sections consecutively and correct any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internal references accordingly.</w:t>
      </w:r>
    </w:p>
    <w:p w:rsidRPr="00913329" w:rsidR="00016DC8" w:rsidP="00016DC8" w:rsidRDefault="00016DC8">
      <w:pPr>
        <w:pStyle w:val="RCWSLText"/>
        <w:rPr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</w:rPr>
      </w:pP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b/>
          <w:bCs/>
          <w:spacing w:val="0"/>
        </w:rPr>
        <w:t xml:space="preserve">ESHB 2524 </w:t>
      </w:r>
      <w:r w:rsidRPr="00913329">
        <w:rPr>
          <w:spacing w:val="0"/>
        </w:rPr>
        <w:t>S AMD TO S AMD (S-5060.4/16)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By Senator Hasegawa</w:t>
      </w:r>
    </w:p>
    <w:p w:rsidRPr="00913329" w:rsidR="00016DC8" w:rsidP="00016DC8" w:rsidRDefault="00016DC8">
      <w:pPr>
        <w:pStyle w:val="RCWSLText"/>
        <w:rPr>
          <w:spacing w:val="0"/>
        </w:rPr>
      </w:pPr>
      <w:r>
        <w:rPr>
          <w:spacing w:val="0"/>
        </w:rPr>
        <w:tab/>
      </w:r>
      <w:r w:rsidRPr="00913329">
        <w:rPr>
          <w:spacing w:val="0"/>
        </w:rPr>
        <w:t>On page 85, line 2 of the title amendment, after "81.53.281",</w:t>
      </w:r>
    </w:p>
    <w:p w:rsidRPr="00913329" w:rsidR="00016DC8" w:rsidP="00016DC8" w:rsidRDefault="00016DC8">
      <w:pPr>
        <w:pStyle w:val="RCWSLText"/>
        <w:rPr>
          <w:spacing w:val="0"/>
        </w:rPr>
      </w:pPr>
      <w:r w:rsidRPr="00913329">
        <w:rPr>
          <w:spacing w:val="0"/>
        </w:rPr>
        <w:t>insert "and 82.08.809"</w:t>
      </w:r>
    </w:p>
    <w:permEnd w:id="868945204"/>
    <w:p w:rsidR="00ED2EEB" w:rsidP="009668F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415177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668F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16DC8" w:rsidP="00016DC8" w:rsidRDefault="0096303F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16DC8">
                  <w:rPr>
                    <w:rFonts w:ascii="Courier" w:hAnsi="Courier" w:cs="Courier"/>
                  </w:rPr>
                  <w:t>Reserves $200,000 of the electric vehicle tax credit</w:t>
                </w:r>
              </w:p>
              <w:p w:rsidR="00016DC8" w:rsidP="00016DC8" w:rsidRDefault="00016DC8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refund for the City of Seattle to cover the costs of providing free</w:t>
                </w:r>
              </w:p>
              <w:p w:rsidR="00016DC8" w:rsidP="00016DC8" w:rsidRDefault="00016DC8">
                <w:pPr>
                  <w:autoSpaceDE w:val="0"/>
                  <w:autoSpaceDN w:val="0"/>
                  <w:adjustRightInd w:val="0"/>
                  <w:rPr>
                    <w:rFonts w:ascii="Courier" w:hAnsi="Courier" w:cs="Courier"/>
                  </w:rPr>
                </w:pPr>
                <w:r>
                  <w:rPr>
                    <w:rFonts w:ascii="Courier" w:hAnsi="Courier" w:cs="Courier"/>
                  </w:rPr>
                  <w:t>parking to resident in restricted parking zones in the vicinity of existing Sound Transit facilities in Seattle.</w:t>
                </w:r>
              </w:p>
              <w:p w:rsidRPr="0096303F" w:rsidR="00016DC8" w:rsidP="00016DC8" w:rsidRDefault="00016DC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 </w:t>
                </w:r>
              </w:p>
              <w:p w:rsidRPr="0096303F" w:rsidR="001C1B27" w:rsidP="009668F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668F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74151779"/>
    </w:tbl>
    <w:p w:rsidR="00DF5D0E" w:rsidP="009668FF" w:rsidRDefault="00DF5D0E">
      <w:pPr>
        <w:pStyle w:val="BillEnd"/>
        <w:suppressLineNumbers/>
      </w:pPr>
    </w:p>
    <w:p w:rsidR="00DF5D0E" w:rsidP="009668F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668F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8FF" w:rsidRDefault="009668FF" w:rsidP="00DF5D0E">
      <w:r>
        <w:separator/>
      </w:r>
    </w:p>
  </w:endnote>
  <w:endnote w:type="continuationSeparator" w:id="0">
    <w:p w:rsidR="009668FF" w:rsidRDefault="009668F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33" w:rsidRDefault="001264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05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2524-S.E AMS HASE GAMB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05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2524-S.E AMS HASE GAMB 170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8FF" w:rsidRDefault="009668FF" w:rsidP="00DF5D0E">
      <w:r>
        <w:separator/>
      </w:r>
    </w:p>
  </w:footnote>
  <w:footnote w:type="continuationSeparator" w:id="0">
    <w:p w:rsidR="009668FF" w:rsidRDefault="009668F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33" w:rsidRDefault="001264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6DC8"/>
    <w:rsid w:val="00050639"/>
    <w:rsid w:val="00060D21"/>
    <w:rsid w:val="00096165"/>
    <w:rsid w:val="000C6C82"/>
    <w:rsid w:val="000E603A"/>
    <w:rsid w:val="00102468"/>
    <w:rsid w:val="00106544"/>
    <w:rsid w:val="00126433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68F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0542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D351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2524-S.E</BillDocName>
  <AmendType>AMS</AmendType>
  <SponsorAcronym>HASE</SponsorAcronym>
  <DrafterAcronym>GAMB</DrafterAcronym>
  <DraftNumber>170</DraftNumber>
  <ReferenceNumber>ESHB 2524</ReferenceNumber>
  <Floor>S AMD TO S-5060.4/16</Floor>
  <AmendmentNumber> 744</AmendmentNumber>
  <Sponsors>By Senators Hasegawa, Benton</Sponsors>
  <FloorAction>NOT ADOPTED 03/08/2016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3</Pages>
  <Words>756</Words>
  <Characters>3830</Characters>
  <Application>Microsoft Office Word</Application>
  <DocSecurity>8</DocSecurity>
  <Lines>100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2524-S.E AMS HASE GAMB 170</dc:title>
  <dc:creator>Hayley Gamble</dc:creator>
  <cp:lastModifiedBy>Gamble, Hayley</cp:lastModifiedBy>
  <cp:revision>4</cp:revision>
  <cp:lastPrinted>2016-03-08T23:03:00Z</cp:lastPrinted>
  <dcterms:created xsi:type="dcterms:W3CDTF">2016-03-08T23:00:00Z</dcterms:created>
  <dcterms:modified xsi:type="dcterms:W3CDTF">2016-03-08T23:03:00Z</dcterms:modified>
</cp:coreProperties>
</file>