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e2627a16e409c" /></Relationships>
</file>

<file path=word/document.xml><?xml version="1.0" encoding="utf-8"?>
<w:document xmlns:w="http://schemas.openxmlformats.org/wordprocessingml/2006/main">
  <w:body>
    <w:p>
      <w:r>
        <w:rPr>
          <w:b/>
        </w:rPr>
        <w:r>
          <w:rPr/>
          <w:t xml:space="preserve">2545-S.E</w:t>
        </w:r>
      </w:r>
      <w:r>
        <w:rPr>
          <w:b/>
        </w:rPr>
        <w:t xml:space="preserve"> </w:t>
        <w:t xml:space="preserve">AMS</w:t>
      </w:r>
      <w:r>
        <w:rPr>
          <w:b/>
        </w:rPr>
        <w:t xml:space="preserve"> </w:t>
        <w:r>
          <w:rPr/>
          <w:t xml:space="preserve">WM</w:t>
        </w:r>
      </w:r>
      <w:r>
        <w:rPr>
          <w:b/>
        </w:rPr>
        <w:t xml:space="preserve"> </w:t>
        <w:r>
          <w:rPr/>
          <w:t xml:space="preserve">S5039.3</w:t>
        </w:r>
      </w:r>
      <w:r>
        <w:rPr>
          <w:b/>
        </w:rPr>
        <w:t xml:space="preserve"> - NOT FOR FLOOR USE</w:t>
      </w:r>
    </w:p>
    <w:p>
      <w:pPr>
        <w:ind w:left="0" w:right="0" w:firstLine="576"/>
      </w:pPr>
    </w:p>
    <w:p>
      <w:pPr>
        <w:spacing w:before="480" w:after="0" w:line="408" w:lineRule="exact"/>
      </w:pPr>
      <w:r>
        <w:rPr>
          <w:b/>
          <w:u w:val="single"/>
        </w:rPr>
        <w:t xml:space="preserve">ESHB 2545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1 through 3 of this act unless the context clearly requires otherwise.</w:t>
      </w:r>
    </w:p>
    <w:p>
      <w:pPr>
        <w:spacing w:before="0" w:after="0" w:line="408" w:lineRule="exact"/>
        <w:ind w:left="0" w:right="0" w:firstLine="576"/>
        <w:jc w:val="left"/>
      </w:pPr>
      <w:r>
        <w:rPr/>
        <w:t xml:space="preserve">(1) "Additive TBBPA" means the chemical tetrabromobisphenol A, chemical abstracts service number 79-94-7, as of the effective date of this section, in a form that has not undergone a reactive process and is not covalently bonded to a polymer in a product or product component.</w:t>
      </w:r>
    </w:p>
    <w:p>
      <w:pPr>
        <w:spacing w:before="0" w:after="0" w:line="408" w:lineRule="exact"/>
        <w:ind w:left="0" w:right="0" w:firstLine="576"/>
        <w:jc w:val="left"/>
      </w:pPr>
      <w:r>
        <w:rPr/>
        <w:t xml:space="preserve">(2)(a)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A portable infant or child safety seat designed to attach to an automobile seat.</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and children's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discs;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(3) "Decabromodiphenyl ether" means the chemical decabromodiphenyl ether, chemical abstracts service number 1163-19-5, as of the effective date of this section.</w:t>
      </w:r>
    </w:p>
    <w:p>
      <w:pPr>
        <w:spacing w:before="0" w:after="0" w:line="408" w:lineRule="exact"/>
        <w:ind w:left="0" w:right="0" w:firstLine="576"/>
        <w:jc w:val="left"/>
      </w:pPr>
      <w:r>
        <w:rPr/>
        <w:t xml:space="preserve">(4) "HBCD" means the chemical hexabromocyclododecane, chemical abstracts service number 25637-99-4, as of the effective date of this section.</w:t>
      </w:r>
    </w:p>
    <w:p>
      <w:pPr>
        <w:spacing w:before="0" w:after="0" w:line="408" w:lineRule="exact"/>
        <w:ind w:left="0" w:right="0" w:firstLine="576"/>
        <w:jc w:val="left"/>
      </w:pPr>
      <w:r>
        <w:rPr/>
        <w:t xml:space="preserve">(5) "High priority chemical"means a chemical used as a flame retardant in amounts greater than one thousand parts per million in any product component of residential upholstered furniture, as defined in RCW 70.76.010, or children's products and that meets the criteria of a high priority chemical of high concern for children under RCW 70.240.030(1) as identified by a state agency, federal agency, or accredited research university, or other scientific evidence deemed authoritative by the department of health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(6) "IPTPP" means the chemical isopropylated triphenyl phosphate, chemical abstracts service number 68937-41-7, as of the effective date of this section.</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residential upholstered furniture as defined in RCW 70.76.010 or children's product or an importer or domestic distributor of residential upholstered furniture as defined in RCW 70.76.010 or children's product. For the purposes of this subsection, "importer" means the owner of the residential upholstered furniture as defined in RCW 70.76.010 or children's product.</w:t>
      </w:r>
    </w:p>
    <w:p>
      <w:pPr>
        <w:spacing w:before="0" w:after="0" w:line="408" w:lineRule="exact"/>
        <w:ind w:left="0" w:right="0" w:firstLine="576"/>
        <w:jc w:val="left"/>
      </w:pPr>
      <w:r>
        <w:rPr/>
        <w:t xml:space="preserve">(8) "TBB" means the chemical (2-ethylhexyl)-2,3,4,5-tetrabromobenzoate, chemical abstracts service number 183658-27-7, as of the effective date of this section.</w:t>
      </w:r>
    </w:p>
    <w:p>
      <w:pPr>
        <w:spacing w:before="0" w:after="0" w:line="408" w:lineRule="exact"/>
        <w:ind w:left="0" w:right="0" w:firstLine="576"/>
        <w:jc w:val="left"/>
      </w:pPr>
      <w:r>
        <w:rPr/>
        <w:t xml:space="preserve">(9) "TBPH" means the chemical bis (2-ethylhexyl)-2,3,4,5-tetrabromophthalate, chemical abstracts service number 26040-51-7, as of the effective date of this section.</w:t>
      </w:r>
    </w:p>
    <w:p>
      <w:pPr>
        <w:spacing w:before="0" w:after="0" w:line="408" w:lineRule="exact"/>
        <w:ind w:left="0" w:right="0" w:firstLine="576"/>
        <w:jc w:val="left"/>
      </w:pPr>
      <w:r>
        <w:rPr/>
        <w:t xml:space="preserve">(10) "TCEP" means the chemical (tris(2-chloroethyl)phosphate); chemical abstracts service number 115-96-8, as of the effective date of this section.</w:t>
      </w:r>
    </w:p>
    <w:p>
      <w:pPr>
        <w:spacing w:before="0" w:after="0" w:line="408" w:lineRule="exact"/>
        <w:ind w:left="0" w:right="0" w:firstLine="576"/>
        <w:jc w:val="left"/>
      </w:pPr>
      <w:r>
        <w:rPr/>
        <w:t xml:space="preserve">(11) "TCPP" means the chemical tris (1-chloro-2-propyl) phosphate); chemical abstracts service number 13674-84-5, as of the effective date of this section.</w:t>
      </w:r>
    </w:p>
    <w:p>
      <w:pPr>
        <w:spacing w:before="0" w:after="0" w:line="408" w:lineRule="exact"/>
        <w:ind w:left="0" w:right="0" w:firstLine="576"/>
        <w:jc w:val="left"/>
      </w:pPr>
      <w:r>
        <w:rPr/>
        <w:t xml:space="preserve">(12) "TDCPP" means the chemical (tris(1,3-dichloro-2- propyl)phosphate); chemical abstracts service number 13674-87-8, as of the effective date of this section.</w:t>
      </w:r>
    </w:p>
    <w:p>
      <w:pPr>
        <w:spacing w:before="0" w:after="0" w:line="408" w:lineRule="exact"/>
        <w:ind w:left="0" w:right="0" w:firstLine="576"/>
        <w:jc w:val="left"/>
      </w:pPr>
      <w:r>
        <w:rPr/>
        <w:t xml:space="preserve">(13) "TPP" means the chemical triphenyl phosphate, chemical abstracts service number 115-86-6, as of the effective date of this section.</w:t>
      </w:r>
    </w:p>
    <w:p>
      <w:pPr>
        <w:spacing w:before="0" w:after="0" w:line="408" w:lineRule="exact"/>
        <w:ind w:left="0" w:right="0" w:firstLine="576"/>
        <w:jc w:val="left"/>
      </w:pPr>
      <w:r>
        <w:rPr/>
        <w:t xml:space="preserve">(14) "Toy" means a product designed or intended by the manufacturer to be used by a child at play.</w:t>
      </w:r>
    </w:p>
    <w:p>
      <w:pPr>
        <w:spacing w:before="0" w:after="0" w:line="408" w:lineRule="exact"/>
        <w:ind w:left="0" w:right="0" w:firstLine="576"/>
        <w:jc w:val="left"/>
      </w:pPr>
      <w:r>
        <w:rPr/>
        <w:t xml:space="preserve">(15)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(16)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 or</w:t>
      </w:r>
    </w:p>
    <w:p>
      <w:pPr>
        <w:spacing w:before="0" w:after="0" w:line="408" w:lineRule="exact"/>
        <w:ind w:left="0" w:right="0" w:firstLine="576"/>
        <w:jc w:val="left"/>
      </w:pPr>
      <w:r>
        <w:rPr/>
        <w:t xml:space="preserve">(b) A half-life greater than or equal to sixty days in water or evidence of long-range transport.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2017, no manufacturer, wholesaler, or retailer may manufacture, knowingly sell, offer for sale, distribute for sale, or distribute for use in this state children's products or residential upholstered furniture, as defined in RCW 70.76.010,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By rule, the department shall consider whether to add the following flame retardants to the list of chemicals of high concern for children:</w:t>
      </w:r>
    </w:p>
    <w:p>
      <w:pPr>
        <w:spacing w:before="0" w:after="0" w:line="408" w:lineRule="exact"/>
        <w:ind w:left="0" w:right="0" w:firstLine="576"/>
        <w:jc w:val="left"/>
      </w:pPr>
      <w:r>
        <w:rPr/>
        <w:t xml:space="preserve">(a) IPTPP;</w:t>
      </w:r>
    </w:p>
    <w:p>
      <w:pPr>
        <w:spacing w:before="0" w:after="0" w:line="408" w:lineRule="exact"/>
        <w:ind w:left="0" w:right="0" w:firstLine="576"/>
        <w:jc w:val="left"/>
      </w:pPr>
      <w:r>
        <w:rPr/>
        <w:t xml:space="preserve">(b) TBB;</w:t>
      </w:r>
    </w:p>
    <w:p>
      <w:pPr>
        <w:spacing w:before="0" w:after="0" w:line="408" w:lineRule="exact"/>
        <w:ind w:left="0" w:right="0" w:firstLine="576"/>
        <w:jc w:val="left"/>
      </w:pPr>
      <w:r>
        <w:rPr/>
        <w:t xml:space="preserve">(c) TBPH;</w:t>
      </w:r>
    </w:p>
    <w:p>
      <w:pPr>
        <w:spacing w:before="0" w:after="0" w:line="408" w:lineRule="exact"/>
        <w:ind w:left="0" w:right="0" w:firstLine="576"/>
        <w:jc w:val="left"/>
      </w:pPr>
      <w:r>
        <w:rPr/>
        <w:t xml:space="preserve">(d) TCPP;</w:t>
      </w:r>
    </w:p>
    <w:p>
      <w:pPr>
        <w:spacing w:before="0" w:after="0" w:line="408" w:lineRule="exact"/>
        <w:ind w:left="0" w:right="0" w:firstLine="576"/>
        <w:jc w:val="left"/>
      </w:pPr>
      <w:r>
        <w:rPr/>
        <w:t xml:space="preserve">(e) TPP.</w:t>
      </w:r>
    </w:p>
    <w:p>
      <w:pPr>
        <w:spacing w:before="0" w:after="0" w:line="408" w:lineRule="exact"/>
        <w:ind w:left="0" w:right="0" w:firstLine="576"/>
        <w:jc w:val="left"/>
      </w:pPr>
      <w:r>
        <w:rPr/>
        <w:t xml:space="preserve">(2) If after January 1, 2016, a flame retardant listed in subsection (1) of this section is identified as a chemical of high concern for children, the department of health, in consultation with the department, must create a stakeholder advisory committee for each flame retardant chemical within one year of the adoption of the rule that identifies the flame retardant chemical as a chemical of high concern for children. The stakeholder advisory committee is developed to provide stakeholder input, expertise, and additional information. All advisory committee meetings must be open to the public. The advisory committee membership must include, but not be limited to, representatives from: Large and small business sectors; community, environmental, and public health advocacy groups; local governments; affected and interested businesses; and public health agencies. State agencies and technical experts may be requested to participate. In addition, the department of health shall provide technical expertise on human health impacts including: Early childhood and fetal exposure, exposure reduction, and safer substitutes.</w:t>
      </w:r>
    </w:p>
    <w:p>
      <w:pPr>
        <w:spacing w:before="0" w:after="0" w:line="408" w:lineRule="exact"/>
        <w:ind w:left="0" w:right="0" w:firstLine="576"/>
        <w:jc w:val="left"/>
      </w:pPr>
      <w:r>
        <w:rPr/>
        <w:t xml:space="preserve">(3) The department must conduct their analysis consistent with credible scientific evidence and take into consideration information relating to the hazards of and the quantitative extent of exposures to the chemical under its intended or reasonably anticipated conditions of use.</w:t>
      </w:r>
    </w:p>
    <w:p>
      <w:pPr>
        <w:spacing w:before="0" w:after="0" w:line="408" w:lineRule="exact"/>
        <w:ind w:left="0" w:right="0" w:firstLine="576"/>
        <w:jc w:val="left"/>
      </w:pPr>
      <w:r>
        <w:rPr/>
        <w:t xml:space="preserve">(4) When developing policy recommendations consistent with subsection (5) of this section, the department of health, in consultation with the department, must include the following types of information, and evaluation:</w:t>
      </w:r>
    </w:p>
    <w:p>
      <w:pPr>
        <w:spacing w:before="0" w:after="0" w:line="408" w:lineRule="exact"/>
        <w:ind w:left="0" w:right="0" w:firstLine="576"/>
        <w:jc w:val="left"/>
      </w:pPr>
      <w:r>
        <w:rPr/>
        <w:t xml:space="preserve">(a) Chemical name, properties, uses, and manufacturers;</w:t>
      </w:r>
    </w:p>
    <w:p>
      <w:pPr>
        <w:spacing w:before="0" w:after="0" w:line="408" w:lineRule="exact"/>
        <w:ind w:left="0" w:right="0" w:firstLine="576"/>
        <w:jc w:val="left"/>
      </w:pPr>
      <w:r>
        <w:rPr/>
        <w:t xml:space="preserve">(b) An analysis of available information on the production, unintentional production, uses, and disposal of the chemical;</w:t>
      </w:r>
    </w:p>
    <w:p>
      <w:pPr>
        <w:spacing w:before="0" w:after="0" w:line="408" w:lineRule="exact"/>
        <w:ind w:left="0" w:right="0" w:firstLine="576"/>
        <w:jc w:val="left"/>
      </w:pPr>
      <w:r>
        <w:rPr/>
        <w:t xml:space="preserve">(c) Quantitative estimates of the potential human and environmental exposures associated with the use and release of the chemical;</w:t>
      </w:r>
    </w:p>
    <w:p>
      <w:pPr>
        <w:spacing w:before="0" w:after="0" w:line="408" w:lineRule="exact"/>
        <w:ind w:left="0" w:right="0" w:firstLine="576"/>
        <w:jc w:val="left"/>
      </w:pPr>
      <w:r>
        <w:rPr/>
        <w:t xml:space="preserve">(d) An assessment of the potential impacts on human health and the environment resulting from the quantitative exposure estimates referred to in (c) of this subsection;</w:t>
      </w:r>
    </w:p>
    <w:p>
      <w:pPr>
        <w:spacing w:before="0" w:after="0" w:line="408" w:lineRule="exact"/>
        <w:ind w:left="0" w:right="0" w:firstLine="576"/>
        <w:jc w:val="left"/>
      </w:pPr>
      <w:r>
        <w:rPr/>
        <w:t xml:space="preserve">(e) Recommendations for:</w:t>
      </w:r>
    </w:p>
    <w:p>
      <w:pPr>
        <w:spacing w:before="0" w:after="0" w:line="408" w:lineRule="exact"/>
        <w:ind w:left="0" w:right="0" w:firstLine="576"/>
        <w:jc w:val="left"/>
      </w:pPr>
      <w:r>
        <w:rPr/>
        <w:t xml:space="preserve">(i) Managing, reducing, and phasing out the different uses and releases of the chemical;</w:t>
      </w:r>
    </w:p>
    <w:p>
      <w:pPr>
        <w:spacing w:before="0" w:after="0" w:line="408" w:lineRule="exact"/>
        <w:ind w:left="0" w:right="0" w:firstLine="576"/>
        <w:jc w:val="left"/>
      </w:pPr>
      <w:r>
        <w:rPr/>
        <w:t xml:space="preserve">(ii) Minimizing exposure to the chemical;</w:t>
      </w:r>
    </w:p>
    <w:p>
      <w:pPr>
        <w:spacing w:before="0" w:after="0" w:line="408" w:lineRule="exact"/>
        <w:ind w:left="0" w:right="0" w:firstLine="576"/>
        <w:jc w:val="left"/>
      </w:pPr>
      <w:r>
        <w:rPr/>
        <w:t xml:space="preserve">(iii) Using safer substitutes; and</w:t>
      </w:r>
    </w:p>
    <w:p>
      <w:pPr>
        <w:spacing w:before="0" w:after="0" w:line="408" w:lineRule="exact"/>
        <w:ind w:left="0" w:right="0" w:firstLine="576"/>
        <w:jc w:val="left"/>
      </w:pPr>
      <w:r>
        <w:rPr/>
        <w:t xml:space="preserve">(iv) Encouraging the development of safer alternatives;</w:t>
      </w:r>
    </w:p>
    <w:p>
      <w:pPr>
        <w:spacing w:before="0" w:after="0" w:line="408" w:lineRule="exact"/>
        <w:ind w:left="0" w:right="0" w:firstLine="576"/>
        <w:jc w:val="left"/>
      </w:pPr>
      <w:r>
        <w:rPr/>
        <w:t xml:space="preserve">(f) Recommendations on an evaluation of the following factors:</w:t>
      </w:r>
    </w:p>
    <w:p>
      <w:pPr>
        <w:spacing w:before="0" w:after="0" w:line="408" w:lineRule="exact"/>
        <w:ind w:left="0" w:right="0" w:firstLine="576"/>
        <w:jc w:val="left"/>
      </w:pPr>
      <w:r>
        <w:rPr/>
        <w:t xml:space="preserve">(i) Environmental and human health benefits;</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 and</w:t>
      </w:r>
    </w:p>
    <w:p>
      <w:pPr>
        <w:spacing w:before="0" w:after="0" w:line="408" w:lineRule="exact"/>
        <w:ind w:left="0" w:right="0" w:firstLine="576"/>
        <w:jc w:val="left"/>
      </w:pPr>
      <w:r>
        <w:rPr/>
        <w:t xml:space="preserve">(v) Consistency with existing federal and state regulatory requirements.</w:t>
      </w:r>
    </w:p>
    <w:p>
      <w:pPr>
        <w:spacing w:before="0" w:after="0" w:line="408" w:lineRule="exact"/>
        <w:ind w:left="0" w:right="0" w:firstLine="576"/>
        <w:jc w:val="left"/>
      </w:pPr>
      <w:r>
        <w:rPr/>
        <w:t xml:space="preserve">(5) The department of health must include recommendations on policy options for reducing exposure, designating and developing safer substitutes, and restricting or prohibiting the use of the chemicals in consumer products. If the department of health, in consultation with the department, determines that a chemical should be restricted or prohibited from use in children's products, residential upholstered furniture as defined in RCW 70.76.010, or other commercial products or processes, the department of health, in consultation with the department, must submit a recommendation to the appropriate policy committees of the legislature. In conjunction with its recommendation to the legislature, the department of health, in consultation with the department, must cite the peer-reviewed science and other sources of information that the department reviewed and ultimately relied upon in support of the recommendation to restrict or prohibit the chemical.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w:t>
      </w:r>
      <w:r>
        <w:t>((</w:t>
      </w:r>
      <w:r>
        <w:rPr>
          <w:strike/>
        </w:rPr>
        <w:t xml:space="preserve">children's</w:t>
      </w:r>
      <w:r>
        <w:t>))</w:t>
      </w:r>
      <w:r>
        <w:rPr/>
        <w:t xml:space="preserve">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products containing a chemical restricted under this chapter made in casual or isolated sales as defined in RCW 82.04.040, or by a nonprofit organization, is exempt from this chapter.</w:t>
      </w:r>
      <w:r>
        <w:rPr/>
        <w:t xml:space="preserve">"</w:t>
      </w:r>
    </w:p>
    <w:p>
      <w:pPr>
        <w:spacing w:before="480" w:after="0" w:line="408" w:lineRule="exact"/>
      </w:pPr>
      <w:r>
        <w:rPr>
          <w:b/>
          <w:u w:val="single"/>
        </w:rPr>
        <w:t xml:space="preserve">ESHB 2545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03/04/2016</w:t>
      </w:r>
    </w:p>
    <w:p>
      <w:pPr>
        <w:spacing w:before="0" w:after="0" w:line="408" w:lineRule="exact"/>
        <w:ind w:left="0" w:right="0" w:firstLine="576"/>
        <w:jc w:val="left"/>
      </w:pPr>
      <w:r>
        <w:rPr/>
        <w:t xml:space="preserve">On page 1, line 5 of the title, after "products;" strike the remainder of the title and insert "amending RCW 70.240.050; and adding new sections to chapter 70.240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81b5c51914f6b" /></Relationships>
</file>