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c1e9c2aec41d3" /></Relationships>
</file>

<file path=word/document.xml><?xml version="1.0" encoding="utf-8"?>
<w:document xmlns:w="http://schemas.openxmlformats.org/wordprocessingml/2006/main">
  <w:body>
    <w:p>
      <w:r>
        <w:rPr>
          <w:b/>
        </w:rPr>
        <w:r>
          <w:rPr/>
          <w:t xml:space="preserve">5057-S2</w:t>
        </w:r>
      </w:r>
      <w:r>
        <w:rPr>
          <w:b/>
        </w:rPr>
        <w:t xml:space="preserve"> </w:t>
        <w:t xml:space="preserve">AMS</w:t>
      </w:r>
      <w:r>
        <w:rPr>
          <w:b/>
        </w:rPr>
        <w:t xml:space="preserve"> </w:t>
        <w:r>
          <w:rPr/>
          <w:t xml:space="preserve">ROLF</w:t>
        </w:r>
      </w:r>
      <w:r>
        <w:rPr>
          <w:b/>
        </w:rPr>
        <w:t xml:space="preserve"> </w:t>
        <w:r>
          <w:rPr/>
          <w:t xml:space="preserve">S2463.1</w:t>
        </w:r>
      </w:r>
      <w:r>
        <w:rPr>
          <w:b/>
        </w:rPr>
        <w:t xml:space="preserve"> - NOT FOR FLOOR USE</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203</w:t>
      </w:r>
    </w:p>
    <w:p>
      <w:pPr>
        <w:spacing w:before="0" w:after="0" w:line="408" w:lineRule="exact"/>
        <w:ind w:left="0" w:right="0" w:firstLine="576"/>
        <w:jc w:val="left"/>
      </w:pPr>
      <w:r>
        <w:rPr/>
        <w:t xml:space="preserve">By Senator Rolfes</w:t>
      </w:r>
    </w:p>
    <w:p>
      <w:pPr>
        <w:jc w:val="right"/>
      </w:pPr>
      <w:r>
        <w:rPr>
          <w:b/>
        </w:rPr>
        <w:t xml:space="preserve">NOT ADOPTED 3/9/2015</w:t>
      </w:r>
    </w:p>
    <w:p>
      <w:pPr>
        <w:spacing w:before="0" w:after="0" w:line="408" w:lineRule="exact"/>
        <w:ind w:left="0" w:right="0" w:firstLine="576"/>
        <w:jc w:val="left"/>
      </w:pPr>
      <w:r>
        <w:rPr/>
        <w:t xml:space="preserve">On page 16, after line 16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RCW </w:t>
      </w:r>
      <w:r>
        <w:t xml:space="preserve">88</w:t>
      </w:r>
      <w:r>
        <w:rPr/>
        <w:t xml:space="preserve">.</w:t>
      </w:r>
      <w:r>
        <w:t xml:space="preserve">16</w:t>
      </w:r>
      <w:r>
        <w:rPr/>
        <w:t xml:space="preserve">.</w:t>
      </w:r>
      <w:r>
        <w:t xml:space="preserve">170</w:t>
      </w:r>
      <w:r>
        <w:rPr/>
        <w:t xml:space="preserve"> and 1991 c 200 s 601 are each amended to read as follows:</w:t>
      </w:r>
    </w:p>
    <w:p>
      <w:pPr>
        <w:spacing w:before="0" w:after="0" w:line="408" w:lineRule="exact"/>
        <w:ind w:left="0" w:right="0" w:firstLine="576"/>
        <w:jc w:val="left"/>
      </w:pPr>
      <w:r>
        <w:rPr/>
        <w:t xml:space="preserve">Because of the danger of spills, the legislature finds that the transportation of crude oil and refined petroleum products by tankers on the Columbia river</w:t>
      </w:r>
      <w:r>
        <w:rPr>
          <w:u w:val="single"/>
        </w:rPr>
        <w:t xml:space="preserve">, Grays Harbor,</w:t>
      </w:r>
      <w:r>
        <w:rPr/>
        <w:t xml:space="preserve"> and on Puget Sound and adjacent waters creates a great potential hazard to important natural resources of the state and to jobs and incomes dependent on these resources.</w:t>
      </w:r>
    </w:p>
    <w:p>
      <w:pPr>
        <w:spacing w:before="0" w:after="0" w:line="408" w:lineRule="exact"/>
        <w:ind w:left="0" w:right="0" w:firstLine="576"/>
        <w:jc w:val="left"/>
      </w:pPr>
      <w:r>
        <w:rPr/>
        <w:t xml:space="preserve">The legislature recognizes that the Columbia river has many natural obstacles to navigation and shifting navigation channels that create the risk of an oil spill. The legislature also recognizes </w:t>
      </w:r>
      <w:r>
        <w:rPr>
          <w:u w:val="single"/>
        </w:rPr>
        <w:t xml:space="preserve">Grays Harbor and</w:t>
      </w:r>
      <w:r>
        <w:rPr/>
        <w:t xml:space="preserve"> Puget Sound and adjacent waters are </w:t>
      </w:r>
      <w:r>
        <w:t>((</w:t>
      </w:r>
      <w:r>
        <w:rPr>
          <w:strike/>
        </w:rPr>
        <w:t xml:space="preserve">a</w:t>
      </w:r>
      <w:r>
        <w:t>))</w:t>
      </w:r>
      <w:r>
        <w:rPr/>
        <w:t xml:space="preserve"> relatively confined salt water environment</w:t>
      </w:r>
      <w:r>
        <w:rPr>
          <w:u w:val="single"/>
        </w:rPr>
        <w:t xml:space="preserve">s</w:t>
      </w:r>
      <w:r>
        <w:rPr/>
        <w:t xml:space="preserve"> with irregular shorelines and therefore there is a greater than usual likelihood of long-term damage from any large oil spill.</w:t>
      </w:r>
    </w:p>
    <w:p>
      <w:pPr>
        <w:spacing w:before="0" w:after="0" w:line="408" w:lineRule="exact"/>
        <w:ind w:left="0" w:right="0" w:firstLine="576"/>
        <w:jc w:val="left"/>
      </w:pPr>
      <w:r>
        <w:rPr/>
        <w:t xml:space="preserve">The legislature further recognizes that certain areas of the Columbia river</w:t>
      </w:r>
      <w:r>
        <w:rPr>
          <w:u w:val="single"/>
        </w:rPr>
        <w:t xml:space="preserve">, Grays Harbor,</w:t>
      </w:r>
      <w:r>
        <w:rPr/>
        <w:t xml:space="preserve"> and Puget Sound and adjacent waters have limited space for maneuvering a large oil tanker and that these waters contain many natural navigational obstacles as well as a high density of commercial and pleasure boat traffic.</w:t>
      </w:r>
    </w:p>
    <w:p>
      <w:pPr>
        <w:spacing w:before="0" w:after="0" w:line="408" w:lineRule="exact"/>
        <w:ind w:left="0" w:right="0" w:firstLine="576"/>
        <w:jc w:val="left"/>
      </w:pPr>
      <w:r>
        <w:rPr/>
        <w:t xml:space="preserve">For these reasons, it is important that large oil tankers be piloted by highly skilled persons who are familiar with local waters and that such </w:t>
      </w:r>
      <w:r>
        <w:t>((</w:t>
      </w:r>
      <w:r>
        <w:rPr>
          <w:strike/>
        </w:rPr>
        <w:t xml:space="preserve">tankers</w:t>
      </w:r>
      <w:r>
        <w:t>))</w:t>
      </w:r>
      <w:r>
        <w:rPr/>
        <w:t xml:space="preserve"> </w:t>
      </w:r>
      <w:r>
        <w:rPr>
          <w:u w:val="single"/>
        </w:rPr>
        <w:t xml:space="preserve">vessels</w:t>
      </w:r>
      <w:r>
        <w:rPr/>
        <w:t xml:space="preserve"> have sufficient capability for rapid maneuvering responses.</w:t>
      </w:r>
    </w:p>
    <w:p>
      <w:pPr>
        <w:spacing w:before="0" w:after="0" w:line="408" w:lineRule="exact"/>
        <w:ind w:left="0" w:right="0" w:firstLine="576"/>
        <w:jc w:val="left"/>
      </w:pPr>
      <w:r>
        <w:rPr/>
        <w:t xml:space="preserve">It is therefore the intent and purpose of RCW 88.16.180 and 88.16.190 to decrease the likelihood of oil spills on the Columbia river</w:t>
      </w:r>
      <w:r>
        <w:rPr>
          <w:u w:val="single"/>
        </w:rPr>
        <w:t xml:space="preserve">, Grays Harbor,</w:t>
      </w:r>
      <w:r>
        <w:rPr/>
        <w:t xml:space="preserve"> and on Puget Sound and its shorelines by </w:t>
      </w:r>
      <w:r>
        <w:t>((</w:t>
      </w:r>
      <w:r>
        <w:rPr>
          <w:strike/>
        </w:rPr>
        <w:t xml:space="preserve">requiring all oil tankers above a certain size to employ licensed pilots and to be escorted by a tug or tugs  while navigating on certain areas of Puget Sound and adjacent waters</w:t>
      </w:r>
      <w:r>
        <w:t>))</w:t>
      </w:r>
      <w:r>
        <w:rPr/>
        <w:t xml:space="preserve"> </w:t>
      </w:r>
      <w:r>
        <w:rPr>
          <w:u w:val="single"/>
        </w:rPr>
        <w:t xml:space="preserve">establishing safety requirements that comprehensively address spill risks, which may include the establishment of tug escorts and other measures to mitigate safety risks in certain state waters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Except as provided in subsection (2) of this section, an oil tanker of greater than forty thousand deadweight tons may operate in the waters described in (a) of this subsection, to the extent that these waters are within the territorial boundaries of Washington, only if the oil tanker is under the escort of a tug or tugs in compliance with the requirements of subsection (4) of this section.</w:t>
      </w:r>
    </w:p>
    <w:p>
      <w:pPr>
        <w:spacing w:before="0" w:after="0" w:line="408" w:lineRule="exact"/>
        <w:ind w:left="0" w:right="0" w:firstLine="576"/>
        <w:jc w:val="left"/>
      </w:pPr>
      <w:r>
        <w:rPr>
          <w:u w:val="single"/>
        </w:rPr>
        <w:t xml:space="preserve">(a) Those waters east of a line extending from Discovery Island light south to New Dungeness light and all points in the Puget Sound area.</w:t>
      </w:r>
    </w:p>
    <w:p>
      <w:pPr>
        <w:spacing w:before="0" w:after="0" w:line="408" w:lineRule="exact"/>
        <w:ind w:left="0" w:right="0" w:firstLine="576"/>
        <w:jc w:val="left"/>
      </w:pPr>
      <w:r>
        <w:rPr>
          <w:u w:val="single"/>
        </w:rPr>
        <w:t xml:space="preserve">(b) The state board of pilotage commissioners, in consultation with the department of ecology and relying on the results of vessel traffic risk assessments, may write rules to implement this subsection (1)(b). These rules may include tug escort requirements and other safety measures for oil tankers of greater than forty thousand deadweight tons, all articulated tug barges, and other towed waterborne vessels or barges that may apply in the following areas consistent with subsections (2)(a) and (4) of this section:</w:t>
      </w:r>
    </w:p>
    <w:p>
      <w:pPr>
        <w:spacing w:before="0" w:after="0" w:line="408" w:lineRule="exact"/>
        <w:ind w:left="0" w:right="0" w:firstLine="576"/>
        <w:jc w:val="left"/>
      </w:pPr>
      <w:r>
        <w:rPr>
          <w:u w:val="single"/>
        </w:rPr>
        <w:t xml:space="preserve">(i) Within a two-mile radius of the Grays Harbor pilotage district as defined in RCW 88.16.050;</w:t>
      </w:r>
    </w:p>
    <w:p>
      <w:pPr>
        <w:spacing w:before="0" w:after="0" w:line="408" w:lineRule="exact"/>
        <w:ind w:left="0" w:right="0" w:firstLine="576"/>
        <w:jc w:val="left"/>
      </w:pPr>
      <w:r>
        <w:rPr>
          <w:u w:val="single"/>
        </w:rPr>
        <w:t xml:space="preserve">(ii) Any inland portion of the Columbia river or within three miles of Cape Disappointment at the mouth of the Columbia river; or</w:t>
      </w:r>
    </w:p>
    <w:p>
      <w:pPr>
        <w:spacing w:before="0" w:after="0" w:line="408" w:lineRule="exact"/>
        <w:ind w:left="0" w:right="0" w:firstLine="576"/>
        <w:jc w:val="left"/>
      </w:pPr>
      <w:r>
        <w:rPr>
          <w:u w:val="single"/>
        </w:rPr>
        <w:t xml:space="preserve">(iii) The waters identified in (a) of this subsection.</w:t>
      </w:r>
    </w:p>
    <w:p>
      <w:pPr>
        <w:spacing w:before="0" w:after="0" w:line="408" w:lineRule="exact"/>
        <w:ind w:left="0" w:right="0" w:firstLine="576"/>
        <w:jc w:val="left"/>
      </w:pPr>
      <w:r>
        <w:rPr>
          <w:u w:val="single"/>
        </w:rPr>
        <w:t xml:space="preserve">(c) The state board of pilotage commissioners, in consultation with the department of ecology and relying on the results of vessel traffic risk assessments, shall adopt rules by June 30, 2017, to implement this subsection (1)(c). These rules may include tug escort requirements and other safety measures for oil tankers of greater than forty thousand deadweight tons, all articulated tug barges, and other towed waterborne vessels or barges and apply in the following areas consistent with subsections (2)(a) and (4) of this section: All narrow channels of the San Juan Islands archipelago, including Rosario Strait, Haro Strait, Boundary Pass, and connected waterways.</w:t>
      </w:r>
    </w:p>
    <w:p>
      <w:pPr>
        <w:spacing w:before="0" w:after="0" w:line="408" w:lineRule="exact"/>
        <w:ind w:left="0" w:right="0" w:firstLine="576"/>
        <w:jc w:val="left"/>
      </w:pPr>
      <w:r>
        <w:rPr>
          <w:u w:val="single"/>
        </w:rPr>
        <w:t xml:space="preserve">(2)(a) If an oil tanker, articulated tug barge, or other towed waterborne vessel or barge is in ballast, the tug requirements of subsection (1) of this section do not apply.</w:t>
      </w:r>
    </w:p>
    <w:p>
      <w:pPr>
        <w:spacing w:before="0" w:after="0" w:line="408" w:lineRule="exact"/>
        <w:ind w:left="0" w:right="0" w:firstLine="576"/>
        <w:jc w:val="left"/>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spacing w:before="0" w:after="0" w:line="408" w:lineRule="exact"/>
        <w:ind w:left="0" w:right="0" w:firstLine="576"/>
        <w:jc w:val="left"/>
      </w:pPr>
      <w:r>
        <w:rPr>
          <w:u w:val="single"/>
        </w:rPr>
        <w:t xml:space="preserve">(3)(a) Prior to proceeding with rule making as authorized under subsection (1)(b) and (c) of this section, the commission shall consult with the United States coast guard, the Oregon board of maritime pilots, the Puget Sound, Grays Harbor, and Columbia river harbor safety committees, area tribes, public ports in Oregon and Washington, local governments, and other appropriate entities.</w:t>
      </w:r>
    </w:p>
    <w:p>
      <w:pPr>
        <w:spacing w:before="0" w:after="0" w:line="408" w:lineRule="exact"/>
        <w:ind w:left="0" w:right="0" w:firstLine="576"/>
        <w:jc w:val="left"/>
      </w:pPr>
      <w:r>
        <w:rPr>
          <w:u w:val="single"/>
        </w:rPr>
        <w:t xml:space="preserve">(b) The department may not adopt any rules under this subsection or under subsection (1)(b) and (c) of this section until a vessel traffic risk assessment has been completed for the waters subject to the rule making. In order to adopt a rule under this section or subsection (1)(b) and (c) of this section, the board of pilotage commissioners must determine that the results of a vessel traffic risk assessment provides evidence that the rules are necessary in order to achieve best achievable protection as defined in RCW 88.46.010.</w:t>
      </w:r>
    </w:p>
    <w:p>
      <w:pPr>
        <w:spacing w:before="0" w:after="0" w:line="408" w:lineRule="exact"/>
        <w:ind w:left="0" w:right="0" w:firstLine="576"/>
        <w:jc w:val="left"/>
      </w:pPr>
      <w:r>
        <w:rPr>
          <w:u w:val="single"/>
        </w:rPr>
        <w:t xml:space="preserve">(4)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state board of pilotage commissioners may adopt rules to ensure that escort tugs have sufficient mechanical capabilities to provide for safe escort. Rules adopted on this subject must be designed to achieve best achievable protection as defined under RCW 88.46.010.</w:t>
      </w:r>
    </w:p>
    <w:p>
      <w:pPr>
        <w:spacing w:before="0" w:after="0" w:line="408" w:lineRule="exact"/>
        <w:ind w:left="0" w:right="0" w:firstLine="576"/>
        <w:jc w:val="left"/>
      </w:pPr>
      <w:r>
        <w:rPr>
          <w:u w:val="single"/>
        </w:rPr>
        <w:t xml:space="preserve">(5)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spacing w:before="0" w:after="0" w:line="408" w:lineRule="exact"/>
        <w:ind w:left="0" w:right="0" w:firstLine="576"/>
        <w:jc w:val="left"/>
      </w:pPr>
      <w:r>
        <w:rPr>
          <w:u w:val="single"/>
        </w:rPr>
        <w:t xml:space="preserve">(6) The provisions of this section do not apply to pilotage for enrolled tankers.</w:t>
      </w:r>
    </w:p>
    <w:p>
      <w:pPr>
        <w:spacing w:before="0" w:after="0" w:line="408" w:lineRule="exact"/>
        <w:ind w:left="0" w:right="0" w:firstLine="576"/>
        <w:jc w:val="left"/>
      </w:pPr>
      <w:r>
        <w:rPr>
          <w:u w:val="single"/>
        </w:rPr>
        <w:t xml:space="preserve">(7) For the purposes of this section:</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203</w:t>
      </w:r>
    </w:p>
    <w:p>
      <w:pPr>
        <w:spacing w:before="0" w:after="0" w:line="408" w:lineRule="exact"/>
        <w:ind w:left="0" w:right="0" w:firstLine="576"/>
        <w:jc w:val="left"/>
      </w:pPr>
      <w:r>
        <w:rPr/>
        <w:t xml:space="preserve">By Senator Rolfes</w:t>
      </w:r>
    </w:p>
    <w:p>
      <w:pPr>
        <w:jc w:val="right"/>
      </w:pPr>
      <w:r>
        <w:rPr>
          <w:b/>
        </w:rPr>
        <w:t xml:space="preserve">NOT ADOPTED 3/9/2015</w:t>
      </w:r>
    </w:p>
    <w:p>
      <w:pPr>
        <w:spacing w:before="0" w:after="0" w:line="408" w:lineRule="exact"/>
        <w:ind w:left="0" w:right="0" w:firstLine="576"/>
        <w:jc w:val="left"/>
      </w:pPr>
      <w:r>
        <w:rPr/>
        <w:t xml:space="preserve">On page 24, line 32 of the title amendment, after "90.56.010," insert "88.16.170, 88.16.190,"</w:t>
      </w:r>
    </w:p>
    <w:p>
      <w:pPr>
        <w:spacing w:before="0" w:after="0" w:line="408" w:lineRule="exact"/>
        <w:ind w:left="0" w:right="0" w:firstLine="576"/>
        <w:jc w:val="left"/>
      </w:pPr>
      <w:r>
        <w:rPr>
          <w:u w:val="single"/>
        </w:rPr>
        <w:t xml:space="preserve">EFFECT:</w:t>
      </w:r>
      <w:r>
        <w:rPr/>
        <w:t xml:space="preserve"> Authorizes the pilotage commission to write rules for tug escorts for oil-laden vessels in Puget Sound, Grays Harbor, and the Columbia river.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b7cbb7baa346dd" /></Relationships>
</file>