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4af0788cc45fd"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MULL</w:t>
        </w:r>
      </w:r>
      <w:r>
        <w:rPr>
          <w:b/>
        </w:rPr>
        <w:t xml:space="preserve"> </w:t>
        <w:r>
          <w:rPr/>
          <w:t xml:space="preserve">S4202.2</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614</w:t>
      </w:r>
    </w:p>
    <w:p>
      <w:pPr>
        <w:spacing w:before="0" w:after="0" w:line="408" w:lineRule="exact"/>
        <w:ind w:left="0" w:right="0" w:firstLine="576"/>
        <w:jc w:val="left"/>
      </w:pPr>
      <w:r>
        <w:rPr/>
        <w:t xml:space="preserve">By Senator Mullet</w:t>
      </w:r>
    </w:p>
    <w:p>
      <w:pPr>
        <w:jc w:val="right"/>
      </w:pPr>
      <w:r>
        <w:rPr>
          <w:b/>
        </w:rPr>
        <w:t xml:space="preserve">PULLED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 </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fifty cents plus two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614</w:t>
      </w:r>
    </w:p>
    <w:p>
      <w:pPr>
        <w:spacing w:before="0" w:after="0" w:line="408" w:lineRule="exact"/>
        <w:ind w:left="0" w:right="0" w:firstLine="576"/>
        <w:jc w:val="left"/>
      </w:pPr>
      <w:r>
        <w:rPr/>
        <w:t xml:space="preserve">By Senator Mullet</w:t>
      </w:r>
    </w:p>
    <w:p>
      <w:pPr>
        <w:jc w:val="right"/>
      </w:pPr>
      <w:r>
        <w:rPr>
          <w:b/>
        </w:rPr>
        <w:t xml:space="preserve">PULLED 02/16/2016</w:t>
      </w:r>
    </w:p>
    <w:p>
      <w:pPr>
        <w:spacing w:before="0" w:after="0" w:line="408" w:lineRule="exact"/>
        <w:ind w:left="0" w:right="0" w:firstLine="576"/>
        <w:jc w:val="left"/>
      </w:pPr>
      <w:r>
        <w:rPr/>
        <w:t xml:space="preserve">On page 1, line 2 of the title, after "payments;" strike the remainder of the title and insert "amending RCW 19.16.100 and 19.16.250."</w:t>
      </w:r>
    </w:p>
    <w:p>
      <w:pPr>
        <w:spacing w:before="0" w:after="0" w:line="408" w:lineRule="exact"/>
        <w:ind w:left="0" w:right="0" w:firstLine="576"/>
        <w:jc w:val="left"/>
      </w:pPr>
      <w:r>
        <w:rPr>
          <w:u w:val="single"/>
        </w:rPr>
        <w:t xml:space="preserve">EFFECT:</w:t>
      </w:r>
      <w:r>
        <w:rPr/>
        <w:t xml:space="preserve"> Updates RCW 19.16.100 to reflect 2015 amendment.</w:t>
      </w:r>
    </w:p>
    <w:p>
      <w:pPr>
        <w:spacing w:before="0" w:after="0" w:line="408" w:lineRule="exact"/>
        <w:ind w:left="0" w:right="0" w:firstLine="576"/>
        <w:jc w:val="left"/>
      </w:pPr>
      <w:r>
        <w:rPr/>
        <w:t xml:space="preserve">Changes the maximum credit card transaction fee that may be charged by a collection agency from $0.50 plus 3 percent of the payment amount to $0.50 plus 2 percent of the payment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cf4b082c324df3" /></Relationships>
</file>