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3e6d304b341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S4732.1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Fain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40, after "</w:t>
      </w:r>
      <w:r>
        <w:rPr>
          <w:u w:val="single"/>
        </w:rPr>
        <w:t xml:space="preserve">group</w:t>
      </w:r>
      <w:r>
        <w:rPr/>
        <w:t xml:space="preserve">" insert "</w:t>
      </w:r>
      <w:r>
        <w:rPr>
          <w:u w:val="single"/>
        </w:rPr>
        <w:t xml:space="preserve">that: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(i)(A) Is exempt from federal income taxation under 26 U.S.C. Sec. 501(c) of the federal internal revenue code as it exists on the effective date of this section;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Is registered as a charity with the Washington secretary of state under chapter 19.09 RCW, whether such registration is required by law or voluntary;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Has as its primary purpose the prevention of abuse, neglect, cruelty, exploitation, or homelessness of animals;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Exclusively obtains dogs, cats, or other animals for placement that are stray or abandoned; surrendered or relinquished by animal owners or caretakers; transferred from other animal rescue organizations; or born in the care of such animal rescue group other than through intentional breeding by the animal rescue group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animal rescue nonprofits do not have to collect sales tax on their pet adoption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0133c5a57448d" /></Relationships>
</file>