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e10e58d4e41b8" /></Relationships>
</file>

<file path=word/document.xml><?xml version="1.0" encoding="utf-8"?>
<w:document xmlns:w="http://schemas.openxmlformats.org/wordprocessingml/2006/main">
  <w:body>
    <w:p>
      <w:r>
        <w:t>H-1575.3</w:t>
      </w:r>
    </w:p>
    <w:p>
      <w:pPr>
        <w:jc w:val="center"/>
      </w:pPr>
      <w:r>
        <w:t>_______________________________________________</w:t>
      </w:r>
    </w:p>
    <w:p/>
    <w:p>
      <w:pPr>
        <w:jc w:val="center"/>
      </w:pPr>
      <w:r>
        <w:rPr>
          <w:b/>
        </w:rPr>
        <w:t>SUBSTITUTE HOUSE BILL 1078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Hudgins, Morris, Robinson, Kirby, Gregerson, Stanford, Ryu, Magendanz, and Pollet; by request of Attorney General)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t xml:space="preserve"> </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(15) of this section. Prior to commencing an action against a covered entity pursuant to subsection (17) of this section, the attorney general shall confer with the secretary of health and human services, and the attorney general may not commence such action if the secretary confirms that the covered entity complied with section 13402 of the federal health information technology for economic and clinical health act, Public Law 111-5 as it existed on the effective date of this section.</w:t>
      </w:r>
    </w:p>
    <w:p>
      <w:pPr>
        <w:spacing w:before="0" w:after="0" w:line="408" w:lineRule="exact"/>
        <w:ind w:left="0" w:right="0" w:firstLine="576"/>
        <w:jc w:val="left"/>
      </w:pPr>
      <w:r>
        <w:rPr>
          <w:u w:val="single"/>
        </w:rPr>
        <w:t xml:space="preserve">(11) A financial institution under the authority of the office of the comptroller of the currency, the federal deposit insurance corporation,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as they existed on the effective date of this section,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the effective date of this section.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u w:val="single"/>
        </w:rPr>
        <w:t xml:space="preserve">(12)</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Any </w:t>
      </w:r>
      <w:r>
        <w:t>((</w:t>
      </w:r>
      <w:r>
        <w:rPr>
          <w:strike/>
        </w:rPr>
        <w:t xml:space="preserve">customer</w:t>
      </w:r>
      <w:r>
        <w:t>))</w:t>
      </w:r>
      <w:r>
        <w:rPr/>
        <w:t xml:space="preserve"> </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(14)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(15)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(16)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consistent with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t xml:space="preserve"> </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(14) of this section.</w:t>
      </w:r>
    </w:p>
    <w:p>
      <w:pPr>
        <w:spacing w:before="0" w:after="0" w:line="408" w:lineRule="exact"/>
        <w:ind w:left="0" w:right="0" w:firstLine="576"/>
        <w:jc w:val="left"/>
      </w:pPr>
      <w:r>
        <w:rPr>
          <w:u w:val="single"/>
        </w:rPr>
        <w:t xml:space="preserve">(11)</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Any </w:t>
      </w:r>
      <w:r>
        <w:t>((</w:t>
      </w:r>
      <w:r>
        <w:rPr>
          <w:strike/>
        </w:rPr>
        <w:t xml:space="preserve">customer</w:t>
      </w:r>
      <w:r>
        <w:t>))</w:t>
      </w:r>
      <w:r>
        <w:rPr/>
        <w:t xml:space="preserve"> </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t xml:space="preserve"> </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(13)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(14) Any agency that is required to issue a notification pursuant to this section to more than five hundred Washington residents as a result of a single breach shall, by the time notice is provided to affected individuals,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(15) Notification to affected individuals and to the attorney general must be made in the most expedient time possible and without unreasonable delay, no more than forty-five calendar days after the breach was discovered, unless at the request of law enforcement as provided in subsection (3) of this section, or consistent with any measures necessary to determine the scope of the breach and restore the reasonable integrity of the data system.</w:t>
      </w:r>
    </w:p>
    <w:p/>
    <w:p>
      <w:pPr>
        <w:jc w:val="center"/>
      </w:pPr>
      <w:r>
        <w:rPr>
          <w:b/>
        </w:rPr>
        <w:t>--- END ---</w:t>
      </w:r>
    </w:p>
    <w:sectPr>
      <w:pgNumType w:start="1"/>
      <w:footerReference xmlns:r="http://schemas.openxmlformats.org/officeDocument/2006/relationships" r:id="Rba85278f6d63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8d57464414054" /><Relationship Type="http://schemas.openxmlformats.org/officeDocument/2006/relationships/footer" Target="/word/footer.xml" Id="Rba85278f6d63428e" /></Relationships>
</file>