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eac09e800473b" /></Relationships>
</file>

<file path=word/document.xml><?xml version="1.0" encoding="utf-8"?>
<w:document xmlns:w="http://schemas.openxmlformats.org/wordprocessingml/2006/main">
  <w:body>
    <w:p>
      <w:r>
        <w:t>H-0242.1</w:t>
      </w:r>
    </w:p>
    <w:p>
      <w:pPr>
        <w:jc w:val="center"/>
      </w:pPr>
      <w:r>
        <w:t>_______________________________________________</w:t>
      </w:r>
    </w:p>
    <w:p/>
    <w:p>
      <w:pPr>
        <w:jc w:val="center"/>
      </w:pPr>
      <w:r>
        <w:rPr>
          <w:b/>
        </w:rPr>
        <w:t>HOUSE BILL 1103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Zeiger, Moeller, Rodne, Cody, Harris, Clibborn, Riccelli, Kagi, and Gregerson</w:t>
      </w:r>
    </w:p>
    <w:p/>
    <w:p>
      <w:r>
        <w:rPr>
          <w:t xml:space="preserve">Prefiled 01/09/15.</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 the standards under subsection (2) of this section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Test sites that may receive access to data in the prescription monitoring program under RCW 70.225.040 must be:</w:t>
      </w:r>
    </w:p>
    <w:p>
      <w:pPr>
        <w:spacing w:before="0" w:after="0" w:line="408" w:lineRule="exact"/>
        <w:ind w:left="0" w:right="0" w:firstLine="576"/>
        <w:jc w:val="left"/>
      </w:pPr>
      <w:r>
        <w:rPr/>
        <w:t xml:space="preserve">(1) Physically located in Washington state;</w:t>
      </w:r>
    </w:p>
    <w:p>
      <w:pPr>
        <w:spacing w:before="0" w:after="0" w:line="408" w:lineRule="exact"/>
        <w:ind w:left="0" w:right="0" w:firstLine="576"/>
        <w:jc w:val="left"/>
      </w:pPr>
      <w:r>
        <w:rPr/>
        <w:t xml:space="preserve">(2) Licensed by the department as a test site under chapter 70.42 RCW; and</w:t>
      </w:r>
    </w:p>
    <w:p>
      <w:pPr>
        <w:spacing w:before="0" w:after="0" w:line="408" w:lineRule="exact"/>
        <w:ind w:left="0" w:right="0" w:firstLine="576"/>
        <w:jc w:val="left"/>
      </w:pPr>
      <w:r>
        <w:rPr/>
        <w:t xml:space="preserve">(3) Certified as a drug testing laboratory by the United States department of health and human services, substance abuse and mental health services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Laboratories that qualify under section 2 of this act may not store data accessed from the prescription drug monitoring database in any form, including but not limited to hard copies, electronic copies, or web/digital based copies of any kind. Further, such data may be used only to transmit to those entities listed in RCW 70.255.040(3).</w:t>
      </w:r>
    </w:p>
    <w:p>
      <w:pPr>
        <w:spacing w:before="0" w:after="0" w:line="408" w:lineRule="exact"/>
        <w:ind w:left="0" w:right="0" w:firstLine="576"/>
        <w:jc w:val="left"/>
      </w:pPr>
      <w:r>
        <w:rPr/>
        <w:t xml:space="preserve">(1) Access to such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(2) Such data cannot be gathered, shared, sold, or used in any manner other than as designated under RCW 70.255.040, section 2 of this act, or this section.</w:t>
      </w:r>
    </w:p>
    <w:p/>
    <w:p>
      <w:pPr>
        <w:jc w:val="center"/>
      </w:pPr>
      <w:r>
        <w:rPr>
          <w:b/>
        </w:rPr>
        <w:t>--- END ---</w:t>
      </w:r>
    </w:p>
    <w:sectPr>
      <w:pgNumType w:start="1"/>
      <w:footerReference xmlns:r="http://schemas.openxmlformats.org/officeDocument/2006/relationships" r:id="R0b0ad19831704e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497703c6346cd" /><Relationship Type="http://schemas.openxmlformats.org/officeDocument/2006/relationships/footer" Target="/word/footer.xml" Id="R0b0ad19831704e87" /></Relationships>
</file>