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f203ddfde44f66" /></Relationships>
</file>

<file path=word/document.xml><?xml version="1.0" encoding="utf-8"?>
<w:document xmlns:w="http://schemas.openxmlformats.org/wordprocessingml/2006/main">
  <w:body>
    <w:p>
      <w:r>
        <w:t>H-0286.1</w:t>
      </w:r>
    </w:p>
    <w:p>
      <w:pPr>
        <w:jc w:val="center"/>
      </w:pPr>
      <w:r>
        <w:t>_______________________________________________</w:t>
      </w:r>
    </w:p>
    <w:p/>
    <w:p>
      <w:pPr>
        <w:jc w:val="center"/>
      </w:pPr>
      <w:r>
        <w:rPr>
          <w:b/>
        </w:rPr>
        <w:t>HOUSE BILL 1122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Gregerson, and Reykdal</w:t>
      </w:r>
    </w:p>
    <w:p/>
    <w:p>
      <w:r>
        <w:rPr>
          <w:t xml:space="preserve">Read first time 01/13/15.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arbitration for dispatch operators of public employers;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t>((</w:t>
      </w:r>
      <w:r>
        <w:rPr>
          <w:strike/>
        </w:rPr>
        <w:t xml:space="preserve">or</w:t>
      </w:r>
      <w:r>
        <w:t>))</w:t>
      </w:r>
      <w:r>
        <w:rPr/>
        <w:t xml:space="preserve"> (h) employees in the several classes of advanced life support technicians, as defined in RCW 18.71.200, who are employed by a public employer</w:t>
      </w:r>
      <w:r>
        <w:rPr>
          <w:u w:val="single"/>
        </w:rPr>
        <w:t xml:space="preserve">; or (i) employees of public employers, other than fire departments, who dispatch fire, police, or emergency medical services, or any combination of these</w:t>
      </w:r>
      <w:r>
        <w:rPr/>
        <w:t xml:space="preserve">.</w:t>
      </w:r>
    </w:p>
    <w:p/>
    <w:p>
      <w:pPr>
        <w:jc w:val="center"/>
      </w:pPr>
      <w:r>
        <w:rPr>
          <w:b/>
        </w:rPr>
        <w:t>--- END ---</w:t>
      </w:r>
    </w:p>
    <w:sectPr>
      <w:pgNumType w:start="1"/>
      <w:footerReference xmlns:r="http://schemas.openxmlformats.org/officeDocument/2006/relationships" r:id="R6bcf7000faeb40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7ea7eacdd44f7" /><Relationship Type="http://schemas.openxmlformats.org/officeDocument/2006/relationships/footer" Target="/word/footer.xml" Id="R6bcf7000faeb40fb" /></Relationships>
</file>