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eee239cf184264" /></Relationships>
</file>

<file path=word/document.xml><?xml version="1.0" encoding="utf-8"?>
<w:document xmlns:w="http://schemas.openxmlformats.org/wordprocessingml/2006/main">
  <w:body>
    <w:p>
      <w:r>
        <w:t>Z-0380.2</w:t>
      </w:r>
    </w:p>
    <w:p>
      <w:pPr>
        <w:jc w:val="center"/>
      </w:pPr>
      <w:r>
        <w:t>_______________________________________________</w:t>
      </w:r>
    </w:p>
    <w:p/>
    <w:p>
      <w:pPr>
        <w:jc w:val="center"/>
      </w:pPr>
      <w:r>
        <w:rPr>
          <w:b/>
        </w:rPr>
        <w:t>HOUSE BILL 1136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S. Hunt, Tarleton, Kilduff, Appleton, Pike, Gregerson, Bergquist, Ormsby, Haler, Ryu, Sells, Pollet, Fey, and Farrell; by request of Attorney General</w:t>
      </w:r>
    </w:p>
    <w:p/>
    <w:p>
      <w:r>
        <w:rPr>
          <w:t xml:space="preserve">Read first time 01/14/15.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w:t>
      </w:r>
      <w:r>
        <w:rPr>
          <w:u w:val="single"/>
        </w:rPr>
        <w:t xml:space="preserve">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w:t>
      </w:r>
      <w:r>
        <w:rPr>
          <w:u w:val="single"/>
        </w:rPr>
        <w:t xml:space="preserve">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2016.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a person changes employers or sources of employment compensation during the twelve-month period to another employer that does business with the state or takes action to influence any state policy, rule, legislative matter, or action, he or she shall submit an updated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provides for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Postemployment statements must be made available online in a searchable database on the executive ethics board web site. The other ethics boards and the public disclosure commission shall link to the database on their respective web sites.</w:t>
      </w:r>
    </w:p>
    <w:p>
      <w:pPr>
        <w:spacing w:before="0" w:after="0" w:line="408" w:lineRule="exact"/>
        <w:ind w:left="0" w:right="0" w:firstLine="576"/>
        <w:jc w:val="left"/>
      </w:pPr>
      <w:r>
        <w:rPr/>
        <w:t xml:space="preserve">(7) The ethics boards shall adopt rules to implement this section. Initial rules must be adopted by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7f03a5565af43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b4b2d07b944e0" /><Relationship Type="http://schemas.openxmlformats.org/officeDocument/2006/relationships/footer" Target="/word/footer.xml" Id="R77f03a5565af4351" /></Relationships>
</file>