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955b9276004660" /></Relationships>
</file>

<file path=word/document.xml><?xml version="1.0" encoding="utf-8"?>
<w:document xmlns:w="http://schemas.openxmlformats.org/wordprocessingml/2006/main">
  <w:body>
    <w:p>
      <w:r>
        <w:t>H-0169.1</w:t>
      </w:r>
    </w:p>
    <w:p>
      <w:pPr>
        <w:jc w:val="center"/>
      </w:pPr>
      <w:r>
        <w:t>_______________________________________________</w:t>
      </w:r>
    </w:p>
    <w:p/>
    <w:p>
      <w:pPr>
        <w:jc w:val="center"/>
      </w:pPr>
      <w:r>
        <w:rPr>
          <w:b/>
        </w:rPr>
        <w:t>HOUSE BILL 1155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Moeller, Buys, Manweller, Hayes, Bergquist, and Pollet</w:t>
      </w:r>
    </w:p>
    <w:p/>
    <w:p>
      <w:r>
        <w:rPr>
          <w:t xml:space="preserve">Read first time 01/14/15.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for senior citizens and persons retired because of physical disability; amending RCW 84.36.381, 84.36.383, 84.36.385, 84.38.020, and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relative value of a dollar has decreased over time due to inflation. The legislature further finds pension payments and social security benefits are the primary sources of income for many individuals who qualify for the senior citizen property tax exemption and deferral programs. The legislature further finds both pension payments and social security benefit amounts are annually adjusted to account for inflation while the qualifying income thresholds for the senior citizen property tax relief programs are a constant dollar amount. The legislature has made multiple statutory adjustments to the qualifying income thresholds of the senior citizen property tax relief programs to account for inflation. In order to eliminate the need for future legislative action to account for inflation, the legislature intends to allow the income thresholds for the senior citizen property tax exemption and deferral programs to annually grow with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thirty-five thousand dollars or less</w:t>
      </w:r>
      <w:r>
        <w:t>))</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 thousand dollars or less but greater than twenty-five thousand dollars</w:t>
      </w:r>
      <w:r>
        <w:t>))</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w:t>
      </w:r>
      <w:r>
        <w:t>((</w:t>
      </w:r>
      <w:r>
        <w:rPr>
          <w:strike/>
        </w:rPr>
        <w:t xml:space="preserve">twenty-five thousand dollars or less</w:t>
      </w:r>
      <w:r>
        <w:t>))</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w:t>
      </w:r>
      <w:r>
        <w:t>((</w:t>
      </w:r>
      <w:r>
        <w:rPr>
          <w:strike/>
        </w:rPr>
        <w:t xml:space="preserve">thirty-five thousand dollars or less</w:t>
      </w:r>
      <w:r>
        <w:t>))</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 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 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a combined disposable income equal to $25,000 or less, annually adjusted for inflation beginning in calendar year 2016, as provided in RCW 84.36.385(7).</w:t>
      </w:r>
    </w:p>
    <w:p>
      <w:pPr>
        <w:spacing w:before="0" w:after="0" w:line="408" w:lineRule="exact"/>
        <w:ind w:left="0" w:right="0" w:firstLine="576"/>
        <w:jc w:val="left"/>
      </w:pPr>
      <w:r>
        <w:rPr>
          <w:u w:val="single"/>
        </w:rPr>
        <w:t xml:space="preserve">(9) "Income threshold 2" means a combined disposable income between $25,001 and $30,000, annually adjusted for inflation beginning in calendar year 2016, as provided in RCW 84.36.385(7).</w:t>
      </w:r>
    </w:p>
    <w:p>
      <w:pPr>
        <w:spacing w:before="0" w:after="0" w:line="408" w:lineRule="exact"/>
        <w:ind w:left="0" w:right="0" w:firstLine="576"/>
        <w:jc w:val="left"/>
      </w:pPr>
      <w:r>
        <w:rPr>
          <w:u w:val="single"/>
        </w:rPr>
        <w:t xml:space="preserve">(10) "Income threshold 3" means a combined disposable income between $30,001 and $35,000, annually adjusted for inflation beginning in calendar year 2016, as provided in RCW 84.36.385(7).</w:t>
      </w:r>
    </w:p>
    <w:p>
      <w:pPr>
        <w:spacing w:before="0" w:after="0" w:line="408" w:lineRule="exact"/>
        <w:ind w:left="0" w:right="0" w:firstLine="576"/>
        <w:jc w:val="left"/>
      </w:pPr>
      <w:r>
        <w:rPr>
          <w:u w:val="single"/>
        </w:rPr>
        <w:t xml:space="preserve">(11) "Consumer price index" means the consumer price index for all urban consumers (CPI-U) as published by the bureau of labor statistics of the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annually publish updated income thresholds by January 1st of each year. The department must adjust income threshold 1, income threshold 2, and income threshold 3, to reflect the increase in the unadjusted consumer price index over the twelve-month period ending in September of the previous calendar year. The adjusted income thresholds apply for applications submitted in the current calendar year. The adjusted thresholds must be rounded to the nearest one dollar. If the change in the consumer price index is less than one, the income threshold for the current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the claimant </w:t>
      </w:r>
      <w:r>
        <w:t>((</w:t>
      </w:r>
      <w:r>
        <w:rPr>
          <w:strike/>
        </w:rPr>
        <w:t xml:space="preserve">shall be</w:t>
      </w:r>
      <w:r>
        <w:t>))</w:t>
      </w:r>
      <w:r>
        <w:rPr>
          <w:u w:val="single"/>
        </w:rPr>
        <w:t xml:space="preserve">is</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t>((</w:t>
      </w:r>
      <w:r>
        <w:rPr>
          <w:strike/>
        </w:rPr>
        <w:t xml:space="preserve">(4)</w:t>
      </w:r>
      <w:r>
        <w:t>))</w:t>
      </w:r>
      <w:r>
        <w:rPr>
          <w:u w:val="single"/>
        </w:rPr>
        <w:t xml:space="preserve">(3)</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u w:val="single"/>
        </w:rPr>
        <w:t xml:space="preserve">(4)</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u w:val="single"/>
        </w:rPr>
        <w:t xml:space="preserve">(5)</w:t>
      </w:r>
      <w:r>
        <w:rPr/>
        <w:t xml:space="preserve"> "Residence" has the meaning given in RCW 84.36.383.</w:t>
      </w:r>
    </w:p>
    <w:p>
      <w:pPr>
        <w:spacing w:before="0" w:after="0" w:line="408" w:lineRule="exact"/>
        <w:ind w:left="0" w:right="0" w:firstLine="576"/>
        <w:jc w:val="left"/>
      </w:pPr>
      <w:r>
        <w:t>((</w:t>
      </w:r>
      <w:r>
        <w:rPr>
          <w:strike/>
        </w:rPr>
        <w:t xml:space="preserve">(7)</w:t>
      </w:r>
      <w:r>
        <w:t>))</w:t>
      </w:r>
      <w:r>
        <w:rPr>
          <w:u w:val="single"/>
        </w:rPr>
        <w:t xml:space="preserve">(6)</w:t>
      </w:r>
      <w:r>
        <w:rPr/>
        <w:t xml:space="preserve"> "Special assessment" means the charge or obligation imposed by a local government upon property specially benefited.</w:t>
      </w:r>
    </w:p>
    <w:p>
      <w:pPr>
        <w:spacing w:before="0" w:after="0" w:line="408" w:lineRule="exact"/>
        <w:ind w:left="0" w:right="0" w:firstLine="576"/>
        <w:jc w:val="left"/>
      </w:pPr>
      <w:r>
        <w:rPr>
          <w:u w:val="single"/>
        </w:rPr>
        <w:t xml:space="preserve">(7) "Income threshold" means a combined disposable income of less than forty thousand dollars, annually adjusted for inflation beginning in calendar year 2016, as provided in RCW 84.36.385(7).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physical disability</w:t>
      </w:r>
      <w:r>
        <w:t>((</w:t>
      </w:r>
      <w:r>
        <w:rPr>
          <w:strike/>
        </w:rPr>
        <w:t xml:space="preserve">: PROVIDED, That</w:t>
      </w:r>
      <w:r>
        <w:t>))</w:t>
      </w:r>
      <w:r>
        <w:rPr>
          <w:u w:val="single"/>
        </w:rPr>
        <w:t xml:space="preserve">. However,</w:t>
      </w:r>
      <w:r>
        <w:rPr/>
        <w:t xml:space="preserve"> any surviving spouse or surviving domestic partner of a person who was receiving a deferral at the time of the person's death </w:t>
      </w:r>
      <w:r>
        <w:t>((</w:t>
      </w:r>
      <w:r>
        <w:rPr>
          <w:strike/>
        </w:rPr>
        <w:t xml:space="preserve">shall qualify</w:t>
      </w:r>
      <w:r>
        <w:t>))</w:t>
      </w:r>
      <w:r>
        <w:rPr>
          <w:u w:val="single"/>
        </w:rPr>
        <w:t xml:space="preserve">qualifies</w:t>
      </w:r>
      <w:r>
        <w:rPr/>
        <w:t xml:space="preserve">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 thousand dollars or</w:t>
      </w:r>
      <w:r>
        <w:t>))</w:t>
      </w:r>
      <w:r>
        <w:rPr/>
        <w:t xml:space="preserve"> less </w:t>
      </w:r>
      <w:r>
        <w:rPr>
          <w:u w:val="single"/>
        </w:rPr>
        <w:t xml:space="preserve">than or equal to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w:t>
      </w:r>
      <w:r>
        <w:t>((</w:t>
      </w:r>
      <w:r>
        <w:rPr>
          <w:strike/>
        </w:rPr>
        <w:t xml:space="preserve">shall be</w:t>
      </w:r>
      <w:r>
        <w:t>))</w:t>
      </w:r>
      <w:r>
        <w:rPr>
          <w:u w:val="single"/>
        </w:rPr>
        <w:t xml:space="preserve">is</w:t>
      </w:r>
      <w:r>
        <w:rPr/>
        <w:t xml:space="preserv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w:t>
      </w:r>
      <w:r>
        <w:t>((</w:t>
      </w:r>
      <w:r>
        <w:rPr>
          <w:strike/>
        </w:rPr>
        <w:t xml:space="preserve">shall</w:t>
      </w:r>
      <w:r>
        <w:t>))</w:t>
      </w:r>
      <w:r>
        <w:rPr>
          <w:u w:val="single"/>
        </w:rPr>
        <w:t xml:space="preserve">may</w:t>
      </w:r>
      <w:r>
        <w:rPr/>
        <w:t xml:space="preserve">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annually update the income thresholds, following the requirements provided in RCW 84.36.385(7).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provided in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2016 and thereafter.</w:t>
      </w:r>
    </w:p>
    <w:p/>
    <w:p>
      <w:pPr>
        <w:jc w:val="center"/>
      </w:pPr>
      <w:r>
        <w:rPr>
          <w:b/>
        </w:rPr>
        <w:t>--- END ---</w:t>
      </w:r>
    </w:p>
    <w:sectPr>
      <w:pgNumType w:start="1"/>
      <w:footerReference xmlns:r="http://schemas.openxmlformats.org/officeDocument/2006/relationships" r:id="R383ca600a5e74c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240f4e66ff4793" /><Relationship Type="http://schemas.openxmlformats.org/officeDocument/2006/relationships/footer" Target="/word/footer.xml" Id="R383ca600a5e74c7e" /></Relationships>
</file>