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8e022195e34055" /></Relationships>
</file>

<file path=word/document.xml><?xml version="1.0" encoding="utf-8"?>
<w:document xmlns:w="http://schemas.openxmlformats.org/wordprocessingml/2006/main">
  <w:body>
    <w:p>
      <w:r>
        <w:t>H-1665.2</w:t>
      </w:r>
    </w:p>
    <w:p>
      <w:pPr>
        <w:jc w:val="center"/>
      </w:pPr>
      <w:r>
        <w:t>_______________________________________________</w:t>
      </w:r>
    </w:p>
    <w:p/>
    <w:p>
      <w:pPr>
        <w:jc w:val="center"/>
      </w:pPr>
      <w:r>
        <w:rPr>
          <w:b/>
        </w:rPr>
        <w:t>SUBSTITUTE HOUSE BILL 1175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Van De Wege, S. Hunt, Pettigrew, Moeller, Tharinger, Bergquist, Fitzgibbon, Tarleton, Gregerson, Ormsby, Ryu, Stanford, Walkinshaw, and Farrell)</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penalty for concealing the source of a campaign contribution; amending RCW 42.17A.750, 42.17A.755, and 42.17A.765;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2013 c 166 s 1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w:t>
      </w:r>
      <w:r>
        <w:t>((</w:t>
      </w:r>
      <w:r>
        <w:rPr>
          <w:strike/>
        </w:rPr>
        <w:t xml:space="preserve">in addition to any other remedies provided by law</w:t>
      </w:r>
      <w:r>
        <w:t>))</w:t>
      </w:r>
      <w:r>
        <w:rPr/>
        <w:t xml:space="preserve">:</w:t>
      </w:r>
    </w:p>
    <w:p>
      <w:pPr>
        <w:spacing w:before="0" w:after="0" w:line="408" w:lineRule="exact"/>
        <w:ind w:left="0" w:right="0" w:firstLine="576"/>
        <w:jc w:val="left"/>
      </w:pPr>
      <w:r>
        <w:rPr/>
        <w:t xml:space="preserve">(a) If the court finds that the violation of any provision of this chapter by any candidate or political committee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chapter, his or her registration may be revoked or suspended and he or she may be enjoined from receiving compensation or making expenditures for lobbying. The imposition of a sanction shall not excuse the lobbyist from filing statements and reports required by this chapter.</w:t>
      </w:r>
    </w:p>
    <w:p>
      <w:pPr>
        <w:spacing w:before="0" w:after="0" w:line="408" w:lineRule="exact"/>
        <w:ind w:left="0" w:right="0" w:firstLine="576"/>
        <w:jc w:val="left"/>
      </w:pPr>
      <w:r>
        <w:rPr/>
        <w:t xml:space="preserve">(c)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A person who fails to file a properly completed statement or report within the time required by this chapter may be subject to a civil penalty of ten dollars per day for each day each delinquency continues.</w:t>
      </w:r>
    </w:p>
    <w:p>
      <w:pPr>
        <w:spacing w:before="0" w:after="0" w:line="408" w:lineRule="exact"/>
        <w:ind w:left="0" w:right="0" w:firstLine="576"/>
        <w:jc w:val="left"/>
      </w:pPr>
      <w:r>
        <w:rPr/>
        <w:t xml:space="preserve">(e)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rPr/>
        <w:t xml:space="preserve">(f) A person who fails to report a contribution or expenditure as required by this chapter may be subject to a civil penalty equivalent to the amount not reported as required.</w:t>
      </w:r>
    </w:p>
    <w:p>
      <w:pPr>
        <w:spacing w:before="0" w:after="0" w:line="408" w:lineRule="exact"/>
        <w:ind w:left="0" w:right="0" w:firstLine="576"/>
        <w:jc w:val="left"/>
      </w:pPr>
      <w:r>
        <w:rPr/>
        <w:t xml:space="preserve">(g)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rPr/>
        <w:t xml:space="preserve">(h)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w:t>
      </w:r>
      <w:r>
        <w:t>((</w:t>
      </w:r>
      <w:r>
        <w:rPr>
          <w:strike/>
        </w:rPr>
        <w:t xml:space="preserve">The commission may refer the following violations for criminal prosecution</w:t>
      </w:r>
      <w:r>
        <w:t>))</w:t>
      </w:r>
      <w:r>
        <w:rPr/>
        <w:t xml:space="preserve"> </w:t>
      </w:r>
      <w:r>
        <w:rPr>
          <w:u w:val="single"/>
        </w:rPr>
        <w:t xml:space="preserve">In addition to the penalties in subsection (1) of this section, and any other remedies provided by law, a court may impose criminal penalties under the following circumstances</w:t>
      </w:r>
      <w:r>
        <w:rPr/>
        <w:t xml:space="preserve">:</w:t>
      </w:r>
    </w:p>
    <w:p>
      <w:pPr>
        <w:spacing w:before="0" w:after="0" w:line="408" w:lineRule="exact"/>
        <w:ind w:left="0" w:right="0" w:firstLine="576"/>
        <w:jc w:val="left"/>
      </w:pPr>
      <w:r>
        <w:rPr/>
        <w:t xml:space="preserve">(a) A person who</w:t>
      </w:r>
      <w:r>
        <w:t>((</w:t>
      </w:r>
      <w:r>
        <w:rPr>
          <w:strike/>
        </w:rPr>
        <w:t xml:space="preserve">, with actual malice, violates a provision of this chapter</w:t>
      </w:r>
      <w:r>
        <w:t>))</w:t>
      </w:r>
      <w:r>
        <w:rPr/>
        <w:t xml:space="preserve"> </w:t>
      </w:r>
      <w:r>
        <w:rPr>
          <w:u w:val="single"/>
        </w:rPr>
        <w:t xml:space="preserve">intentionally violates a contribution limit provided in RCW 42.17A.405 or 42.17A.410</w:t>
      </w:r>
      <w:r>
        <w:rPr/>
        <w:t xml:space="preserve"> is guilty of a misdemeanor under chapter 9.92 RCW;</w:t>
      </w:r>
    </w:p>
    <w:p>
      <w:pPr>
        <w:spacing w:before="0" w:after="0" w:line="408" w:lineRule="exact"/>
        <w:ind w:left="0" w:right="0" w:firstLine="576"/>
        <w:jc w:val="left"/>
      </w:pPr>
      <w:r>
        <w:rPr/>
        <w:t xml:space="preserve">(b) A person who, within a five-year period, </w:t>
      </w:r>
      <w:r>
        <w:t>((</w:t>
      </w:r>
      <w:r>
        <w:rPr>
          <w:strike/>
        </w:rPr>
        <w:t xml:space="preserve">with actual malice,</w:t>
      </w:r>
      <w:r>
        <w:t>))</w:t>
      </w:r>
      <w:r>
        <w:rPr/>
        <w:t xml:space="preserve"> </w:t>
      </w:r>
      <w:r>
        <w:rPr>
          <w:u w:val="single"/>
        </w:rPr>
        <w:t xml:space="preserve">intentionally</w:t>
      </w:r>
      <w:r>
        <w:rPr/>
        <w:t xml:space="preserve"> violates </w:t>
      </w:r>
      <w:r>
        <w:t>((</w:t>
      </w:r>
      <w:r>
        <w:rPr>
          <w:strike/>
        </w:rPr>
        <w:t xml:space="preserve">three</w:t>
      </w:r>
      <w:r>
        <w:t>))</w:t>
      </w:r>
      <w:r>
        <w:rPr/>
        <w:t xml:space="preserve"> </w:t>
      </w:r>
      <w:r>
        <w:rPr>
          <w:u w:val="single"/>
        </w:rPr>
        <w:t xml:space="preserve">one</w:t>
      </w:r>
      <w:r>
        <w:rPr/>
        <w:t xml:space="preserve"> or more provisions of this chapter </w:t>
      </w:r>
      <w:r>
        <w:rPr>
          <w:u w:val="single"/>
        </w:rPr>
        <w:t xml:space="preserve">on three separate occasions</w:t>
      </w:r>
      <w:r>
        <w:rPr/>
        <w:t xml:space="preserve"> is guilty of a gross misdemeanor under chapter 9.92 RCW; </w:t>
      </w:r>
      <w:r>
        <w:t>((</w:t>
      </w:r>
      <w:r>
        <w:rPr>
          <w:strike/>
        </w:rPr>
        <w:t xml:space="preserve">and</w:t>
      </w:r>
      <w:r>
        <w:t>))</w:t>
      </w:r>
    </w:p>
    <w:p>
      <w:pPr>
        <w:spacing w:before="0" w:after="0" w:line="408" w:lineRule="exact"/>
        <w:ind w:left="0" w:right="0" w:firstLine="576"/>
        <w:jc w:val="left"/>
      </w:pPr>
      <w:r>
        <w:rPr/>
        <w:t xml:space="preserve">(c) </w:t>
      </w:r>
      <w:r>
        <w:rPr>
          <w:u w:val="single"/>
        </w:rPr>
        <w:t xml:space="preserve">A person who intentionally violates RCW 42.17A.435 is guilty of a misdemeanor offense punishable under chapter 9A.20 RCW. A second or subsequent offense is a gross misdemeanor offense punishable under chapter 9A.20 RCW; and</w:t>
      </w:r>
    </w:p>
    <w:p>
      <w:pPr>
        <w:spacing w:before="0" w:after="0" w:line="408" w:lineRule="exact"/>
        <w:ind w:left="0" w:right="0" w:firstLine="576"/>
        <w:jc w:val="left"/>
      </w:pPr>
      <w:r>
        <w:rPr>
          <w:u w:val="single"/>
        </w:rPr>
        <w:t xml:space="preserve">(d)</w:t>
      </w:r>
      <w:r>
        <w:rPr/>
        <w:t xml:space="preserve"> A person who</w:t>
      </w:r>
      <w:r>
        <w:t>((</w:t>
      </w:r>
      <w:r>
        <w:rPr>
          <w:strike/>
        </w:rPr>
        <w:t xml:space="preserve">, with actual malice,</w:t>
      </w:r>
      <w:r>
        <w:t>))</w:t>
      </w:r>
      <w:r>
        <w:rPr/>
        <w:t xml:space="preserve"> </w:t>
      </w:r>
      <w:r>
        <w:rPr>
          <w:u w:val="single"/>
        </w:rPr>
        <w:t xml:space="preserve">intentionally</w:t>
      </w:r>
      <w:r>
        <w:rPr/>
        <w:t xml:space="preserve"> procures or offers any false or forged document to be filed, registered, or recorded with the commission under this chapter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2011 c 145 s 7 are each amended to read as follows:</w:t>
      </w:r>
    </w:p>
    <w:p>
      <w:pPr>
        <w:spacing w:before="0" w:after="0" w:line="408" w:lineRule="exact"/>
        <w:ind w:left="0" w:right="0" w:firstLine="576"/>
        <w:jc w:val="left"/>
      </w:pPr>
      <w:r>
        <w:rPr/>
        <w:t xml:space="preserve">(1) The commission may (a) determine whether an actual violation of this chapter has occurred; and (b) issue and enforce an appropriate order following such a determination.</w:t>
      </w:r>
    </w:p>
    <w:p>
      <w:pPr>
        <w:spacing w:before="0" w:after="0" w:line="408" w:lineRule="exact"/>
        <w:ind w:left="0" w:right="0" w:firstLine="576"/>
        <w:jc w:val="left"/>
      </w:pPr>
      <w:r>
        <w:rPr/>
        <w:t xml:space="preserve">(2) The commission, in cases where it chooses to determine whether an actual violation has occurred, shall hold a hearing pursuant to the administrative procedure act, chapter 34.05 RCW, to make a determination. Any order that the commission issues under this section shall be pursuant to such a hearing.</w:t>
      </w:r>
    </w:p>
    <w:p>
      <w:pPr>
        <w:spacing w:before="0" w:after="0" w:line="408" w:lineRule="exact"/>
        <w:ind w:left="0" w:right="0" w:firstLine="576"/>
        <w:jc w:val="left"/>
      </w:pPr>
      <w:r>
        <w:rPr/>
        <w:t xml:space="preserve">(3) In lieu of holding a hearing or issuing an order under this section, the commission may refer </w:t>
      </w:r>
      <w:r>
        <w:t>((</w:t>
      </w:r>
      <w:r>
        <w:rPr>
          <w:strike/>
        </w:rPr>
        <w:t xml:space="preserve">the matter</w:t>
      </w:r>
      <w:r>
        <w:t>))</w:t>
      </w:r>
      <w:r>
        <w:rPr/>
        <w:t xml:space="preserve"> </w:t>
      </w:r>
      <w:r>
        <w:rPr>
          <w:u w:val="single"/>
        </w:rPr>
        <w:t xml:space="preserve">an apparent violation of this chapter</w:t>
      </w:r>
      <w:r>
        <w:rPr/>
        <w:t xml:space="preserve"> to the attorney general or other </w:t>
      </w:r>
      <w:r>
        <w:rPr>
          <w:u w:val="single"/>
        </w:rPr>
        <w:t xml:space="preserve">law</w:t>
      </w:r>
      <w:r>
        <w:rPr/>
        <w:t xml:space="preserve"> enforcement agency as provided in RCW 42.17A.105 </w:t>
      </w:r>
      <w:r>
        <w:rPr>
          <w:u w:val="single"/>
        </w:rPr>
        <w:t xml:space="preserve">when it has reason to believe the commission's administrative remedies provided in this section would not be adequate to address the seriousness of the alleged violations. In the event the attorney general or other law enforcement agency declines to bring an action under RCW 42.17A.765(1), the commission may proceed under subsection (1) of this section</w:t>
      </w:r>
      <w:r>
        <w:rPr/>
        <w:t xml:space="preserve">.</w:t>
      </w:r>
    </w:p>
    <w:p>
      <w:pPr>
        <w:spacing w:before="0" w:after="0" w:line="408" w:lineRule="exact"/>
        <w:ind w:left="0" w:right="0" w:firstLine="576"/>
        <w:jc w:val="left"/>
      </w:pPr>
      <w:r>
        <w:rPr/>
        <w:t xml:space="preserve">(4)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w:t>
      </w:r>
      <w:r>
        <w:t>((</w:t>
      </w:r>
      <w:r>
        <w:rPr>
          <w:strike/>
        </w:rPr>
        <w:t xml:space="preserve">(e)</w:t>
      </w:r>
      <w:r>
        <w:t>))</w:t>
      </w:r>
      <w:r>
        <w:rPr/>
        <w:t xml:space="preserve"> </w:t>
      </w:r>
      <w:r>
        <w:rPr>
          <w:u w:val="single"/>
        </w:rPr>
        <w:t xml:space="preserve">(f)</w:t>
      </w:r>
      <w:r>
        <w:rPr/>
        <w:t xml:space="preserve">. The commission may assess a penalty in an amount not to exceed ten thousand dollars.</w:t>
      </w:r>
    </w:p>
    <w:p>
      <w:pPr>
        <w:spacing w:before="0" w:after="0" w:line="408" w:lineRule="exact"/>
        <w:ind w:left="0" w:right="0" w:firstLine="576"/>
        <w:jc w:val="left"/>
      </w:pPr>
      <w:r>
        <w:rPr/>
        <w:t xml:space="preserve">(5) The commission has the authority to waive a fine for a first-time violation. A second violation of the same rule by the same person or individual, regardless if the person or individual committed the violation for a different political committee, shall result in a fine. Succeeding violations of the same rule shall result in successively increased fines.</w:t>
      </w:r>
    </w:p>
    <w:p>
      <w:pPr>
        <w:spacing w:before="0" w:after="0" w:line="408" w:lineRule="exact"/>
        <w:ind w:left="0" w:right="0" w:firstLine="576"/>
        <w:jc w:val="left"/>
      </w:pPr>
      <w:r>
        <w:rPr/>
        <w:t xml:space="preserve">(6) An order issued by the commission under this section shall be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section, for an order of enforcement. Proceedings in connection with the commission's petition shall be in accordance with RCW 42.17A.760.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2010 c 204 s 1004 are each amended to read as follows:</w:t>
      </w:r>
    </w:p>
    <w:p>
      <w:pPr>
        <w:spacing w:before="0" w:after="0" w:line="408" w:lineRule="exact"/>
        <w:ind w:left="0" w:right="0" w:firstLine="576"/>
        <w:jc w:val="left"/>
      </w:pPr>
      <w:r>
        <w:rPr/>
        <w:t xml:space="preserve">(1) The attorney general and the prosecuting authorities of political subdivisions of this state may bring civil </w:t>
      </w:r>
      <w:r>
        <w:rPr>
          <w:u w:val="single"/>
        </w:rPr>
        <w:t xml:space="preserve">or criminal</w:t>
      </w:r>
      <w:r>
        <w:rPr/>
        <w:t xml:space="preserve"> actions in the name of the state for any appropriate </w:t>
      </w:r>
      <w:r>
        <w:t>((</w:t>
      </w:r>
      <w:r>
        <w:rPr>
          <w:strike/>
        </w:rPr>
        <w:t xml:space="preserve">civil</w:t>
      </w:r>
      <w:r>
        <w:t>))</w:t>
      </w:r>
      <w:r>
        <w:rPr/>
        <w:t xml:space="preserve"> remedy, including but not limited to the special remedies provided in RCW 42.17A.750.</w:t>
      </w:r>
    </w:p>
    <w:p>
      <w:pPr>
        <w:spacing w:before="0" w:after="0" w:line="408" w:lineRule="exact"/>
        <w:ind w:left="0" w:right="0" w:firstLine="576"/>
        <w:jc w:val="left"/>
      </w:pPr>
      <w:r>
        <w:rPr/>
        <w:t xml:space="preserve">(2) The attorney general and the prosecuting authorities of political subdivisions of this state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pPr>
        <w:spacing w:before="0" w:after="0" w:line="408" w:lineRule="exact"/>
        <w:ind w:left="0" w:right="0" w:firstLine="576"/>
        <w:jc w:val="left"/>
      </w:pPr>
      <w:r>
        <w:rPr/>
        <w:t xml:space="preserve">(3) When the attorney general or the prosecuting authority of any political subdivision of this state requires the attendance of any person to obtain such information or produce the accounts, bills, receipts, books, papers, and documents that may be relevant or material to any investigation authorized under this chapter, he or she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or the prosecuting authority,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0" w:after="0" w:line="408" w:lineRule="exact"/>
        <w:ind w:left="0" w:right="0" w:firstLine="576"/>
        <w:jc w:val="left"/>
      </w:pPr>
      <w:r>
        <w:rPr/>
        <w:t xml:space="preserve">(4) A person who has notified the attorney general and the prosecuting attorney in the county in which the violation occurred in writing that there is reason to believe that some provision of this chapter is being or has been violated may himself or herself bring in the name of the state any of the </w:t>
      </w:r>
      <w:r>
        <w:rPr>
          <w:u w:val="single"/>
        </w:rPr>
        <w:t xml:space="preserve">civil</w:t>
      </w:r>
      <w:r>
        <w:rPr/>
        <w:t xml:space="preserve"> actions (hereinafter referred to as a citizen's action) authorized under this chapter.</w:t>
      </w:r>
    </w:p>
    <w:p>
      <w:pPr>
        <w:spacing w:before="0" w:after="0" w:line="408" w:lineRule="exact"/>
        <w:ind w:left="0" w:right="0" w:firstLine="576"/>
        <w:jc w:val="left"/>
      </w:pPr>
      <w:r>
        <w:rPr/>
        <w:t xml:space="preserve">(a) This citizen action may be brought only if:</w:t>
      </w:r>
    </w:p>
    <w:p>
      <w:pPr>
        <w:spacing w:before="0" w:after="0" w:line="408" w:lineRule="exact"/>
        <w:ind w:left="0" w:right="0" w:firstLine="576"/>
        <w:jc w:val="left"/>
      </w:pPr>
      <w:r>
        <w:rPr/>
        <w:t xml:space="preserve">(i) The attorney general and the prosecuting attorney have failed to commence an action hereunder within forty-five days after the notice;</w:t>
      </w:r>
    </w:p>
    <w:p>
      <w:pPr>
        <w:spacing w:before="0" w:after="0" w:line="408" w:lineRule="exact"/>
        <w:ind w:left="0" w:right="0" w:firstLine="576"/>
        <w:jc w:val="left"/>
      </w:pPr>
      <w:r>
        <w:rPr/>
        <w:t xml:space="preserve">(ii) The person has thereafter further notified the attorney general and prosecuting attorney that the person will commence a citizen's action within ten days upon their failure to do so;</w:t>
      </w:r>
    </w:p>
    <w:p>
      <w:pPr>
        <w:spacing w:before="0" w:after="0" w:line="408" w:lineRule="exact"/>
        <w:ind w:left="0" w:right="0" w:firstLine="576"/>
        <w:jc w:val="left"/>
      </w:pPr>
      <w:r>
        <w:rPr/>
        <w:t xml:space="preserve">(iii) The attorney general and the prosecuting attorney have in fact failed to bring such action within ten days of receipt of said second notice; and</w:t>
      </w:r>
    </w:p>
    <w:p>
      <w:pPr>
        <w:spacing w:before="0" w:after="0" w:line="408" w:lineRule="exact"/>
        <w:ind w:left="0" w:right="0" w:firstLine="576"/>
        <w:jc w:val="left"/>
      </w:pPr>
      <w:r>
        <w:rPr/>
        <w:t xml:space="preserve">(iv) The citizen's action is filed within two years after the date when the alleged violation occurred.</w:t>
      </w:r>
    </w:p>
    <w:p>
      <w:pPr>
        <w:spacing w:before="0" w:after="0" w:line="408" w:lineRule="exact"/>
        <w:ind w:left="0" w:right="0" w:firstLine="576"/>
        <w:jc w:val="left"/>
      </w:pPr>
      <w:r>
        <w:rPr/>
        <w:t xml:space="preserve">(b) If the person who brings the citizen's action prevails, the judgment awarded shall escheat to the state, but he or she shall be entitled to be reimbursed by the state of Washington for costs and attorneys' fees he or she has incurred. In the case of a citizen's action that is dismissed and that the court also finds was brought without reasonable cause, the court may order the person commencing the action to pay all costs of trial and reasonable attorneys' fees incurred by the defendant.</w:t>
      </w:r>
    </w:p>
    <w:p>
      <w:pPr>
        <w:spacing w:before="0" w:after="0" w:line="408" w:lineRule="exact"/>
        <w:ind w:left="0" w:right="0" w:firstLine="576"/>
        <w:jc w:val="left"/>
      </w:pPr>
      <w:r>
        <w:rPr/>
        <w:t xml:space="preserve">(5) In any action brought under this section, the court may award to the state all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to be paid by the state of Washington.</w:t>
      </w:r>
    </w:p>
    <w:p/>
    <w:p>
      <w:pPr>
        <w:jc w:val="center"/>
      </w:pPr>
      <w:r>
        <w:rPr>
          <w:b/>
        </w:rPr>
        <w:t>--- END ---</w:t>
      </w:r>
    </w:p>
    <w:sectPr>
      <w:pgNumType w:start="1"/>
      <w:footerReference xmlns:r="http://schemas.openxmlformats.org/officeDocument/2006/relationships" r:id="Rbb8d51c8754c45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5af4ba64dd40b6" /><Relationship Type="http://schemas.openxmlformats.org/officeDocument/2006/relationships/footer" Target="/word/footer.xml" Id="Rbb8d51c8754c4519" /></Relationships>
</file>