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f42cbd6594903" /></Relationships>
</file>

<file path=word/document.xml><?xml version="1.0" encoding="utf-8"?>
<w:document xmlns:w="http://schemas.openxmlformats.org/wordprocessingml/2006/main">
  <w:body>
    <w:p>
      <w:r>
        <w:t>H-0442.1</w:t>
      </w:r>
    </w:p>
    <w:p>
      <w:pPr>
        <w:jc w:val="center"/>
      </w:pPr>
      <w:r>
        <w:t>_______________________________________________</w:t>
      </w:r>
    </w:p>
    <w:p/>
    <w:p>
      <w:pPr>
        <w:jc w:val="center"/>
      </w:pPr>
      <w:r>
        <w:rPr>
          <w:b/>
        </w:rPr>
        <w:t>HOUSE BILL 1243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Hargrove, Magendanz, and Lytton</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for how school districts address truancy of students; amending RCW 28A.225.015, 28A.225.020, 28A.225.025, 28A.225.030, and 28A.225.151;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passed a truancy law known as the Becca bill. The law requires school districts to file truancy petitions in the juvenile court when students accumulate a specific number of unexcused absences. As a result of this law, the annual number of petitions increased from ninety-one in 1994 to over fifteen thousand in 1997, and has remained around this number since that time. In order to accommodate this mandate, the state provides funds to reimburse the school district for their costs associated with the truancy provisions in the amount of three million six hundred thousand dollars per biennium, as well as the courts in the amount of sixteen million five hundred thousand dollars per biennium. The court process resulting from the petitions can lead to multiple hearings, for which students may be required to have legal representation, legal interventions, and detention. This process costs the school districts two million seven hundred thousand dollars per year, which is approximately one and one-half times the one million eight hundred thousand dollars allocated by the state. The costs to the courts in the 2007-2009 biennium was $15.4 million. Only $8.9 million was appropriated to the courts for truancy that biennium, which left $6.5 million that was not reimbursed by the state. By providing flexibility for how school districts address truancy, the state will reduce the administrative and paperwork load for school districts and the court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w:t>
      </w:r>
      <w:r>
        <w:t>((</w:t>
      </w:r>
      <w:r>
        <w:rPr>
          <w:strike/>
        </w:rPr>
        <w:t xml:space="preserve">shall</w:t>
      </w:r>
      <w:r>
        <w:t>))</w:t>
      </w:r>
      <w:r>
        <w:rPr>
          <w:u w:val="single"/>
        </w:rPr>
        <w:t xml:space="preserve">may</w:t>
      </w:r>
      <w:r>
        <w:rPr/>
        <w:t xml:space="preserve">:</w:t>
      </w:r>
    </w:p>
    <w:p>
      <w:pPr>
        <w:spacing w:before="0" w:after="0" w:line="408" w:lineRule="exact"/>
        <w:ind w:left="0" w:right="0" w:firstLine="576"/>
        <w:jc w:val="left"/>
      </w:pPr>
      <w:r>
        <w:rPr/>
        <w:t xml:space="preserve">(a) Inform the child's custodial parent, parents, or guardian by a notice in writing</w:t>
      </w:r>
      <w:r>
        <w:rPr>
          <w:u w:val="single"/>
        </w:rPr>
        <w:t xml:space="preserve">, by email,</w:t>
      </w:r>
      <w:r>
        <w:rPr/>
        <w:t xml:space="preserve">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t>
      </w:r>
      <w:r>
        <w:rPr>
          <w:u w:val="single"/>
        </w:rPr>
        <w:t xml:space="preserve">to be conducted by telephone or in person</w:t>
      </w:r>
      <w:r>
        <w:rPr/>
        <w:t xml:space="preserve"> with the custodial parent, parents, or guardian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w:t>
      </w:r>
      <w:r>
        <w:t>((</w:t>
      </w:r>
      <w:r>
        <w:rPr>
          <w:strike/>
        </w:rPr>
        <w:t xml:space="preserve">shall</w:t>
      </w:r>
      <w:r>
        <w:t>))</w:t>
      </w:r>
      <w:r>
        <w:rPr>
          <w:u w:val="single"/>
        </w:rPr>
        <w:t xml:space="preserve">may</w:t>
      </w:r>
      <w:r>
        <w:rPr/>
        <w:t xml:space="preserve">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w:t>
      </w:r>
      <w:r>
        <w:t>((</w:t>
      </w:r>
      <w:r>
        <w:rPr>
          <w:strike/>
        </w:rPr>
        <w:t xml:space="preserve">shall</w:t>
      </w:r>
      <w:r>
        <w:t>))</w:t>
      </w:r>
      <w:r>
        <w:rPr>
          <w:u w:val="single"/>
        </w:rPr>
        <w:t xml:space="preserve">may</w:t>
      </w:r>
      <w:r>
        <w:rPr/>
        <w:t xml:space="preserve">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 </w:t>
      </w:r>
      <w:r>
        <w:rPr>
          <w:u w:val="single"/>
        </w:rPr>
        <w:t xml:space="preserve">take the following actions if the child is enrolled in the sixth grade or above, and may take the following actions if the child is enrolled in the fifth grade or below</w:t>
      </w:r>
      <w:r>
        <w:rPr/>
        <w:t xml:space="preserve">:</w:t>
      </w:r>
    </w:p>
    <w:p>
      <w:pPr>
        <w:spacing w:before="0" w:after="0" w:line="408" w:lineRule="exact"/>
        <w:ind w:left="0" w:right="0" w:firstLine="576"/>
        <w:jc w:val="left"/>
      </w:pPr>
      <w:r>
        <w:rPr/>
        <w:t xml:space="preserve">(a) Inform the child's custodial parent, parents, or guardian by a notice in writing</w:t>
      </w:r>
      <w:r>
        <w:rPr>
          <w:u w:val="single"/>
        </w:rPr>
        <w:t xml:space="preserve">, by email,</w:t>
      </w:r>
      <w:r>
        <w:rPr/>
        <w:t xml:space="preserve"> or by telephone whenever the child has failed to attend school after one unexcused absence within any month during the current school year. School officials shall inform the parent of the potential consequences of additional unexcused absences. If the custodial parent, parents, or guardian is not fluent in English, the preferred practice is to provide this information in a language in which the custodial parent, parents, or guardian is fluent; </w:t>
      </w:r>
      <w:r>
        <w:rPr>
          <w:u w:val="single"/>
        </w:rPr>
        <w:t xml:space="preserve">and</w:t>
      </w:r>
    </w:p>
    <w:p>
      <w:pPr>
        <w:spacing w:before="0" w:after="0" w:line="408" w:lineRule="exact"/>
        <w:ind w:left="0" w:right="0" w:firstLine="576"/>
        <w:jc w:val="left"/>
      </w:pPr>
      <w:r>
        <w:rPr/>
        <w:t xml:space="preserve">(b) Schedule a conference or conferences </w:t>
      </w:r>
      <w:r>
        <w:rPr>
          <w:u w:val="single"/>
        </w:rPr>
        <w:t xml:space="preserve">to be conducted by telephone or in person</w:t>
      </w:r>
      <w:r>
        <w:rPr/>
        <w:t xml:space="preserve"> with the custodial parent, parents, or guardian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u w:val="single"/>
        </w:rPr>
        <w:t xml:space="preserve">(2) The school may also t</w:t>
      </w:r>
      <w:r>
        <w:rPr/>
        <w:t xml:space="preserve">ake steps to eliminate or reduce the child's absences. These steps </w:t>
      </w:r>
      <w:r>
        <w:t>((</w:t>
      </w:r>
      <w:r>
        <w:rPr>
          <w:strike/>
        </w:rPr>
        <w:t xml:space="preserve">shall</w:t>
      </w:r>
      <w:r>
        <w:t>))</w:t>
      </w:r>
      <w:r>
        <w:rPr>
          <w:u w:val="single"/>
        </w:rPr>
        <w:t xml:space="preserve">may</w:t>
      </w:r>
      <w:r>
        <w:rPr/>
        <w:t xml:space="preserve"> include, where appropriate, adjusting the child's school program or school or course assignment, providing more individualized or remedial instruction, providing appropriate vocational courses or work experience, referring the child to a community truancy board, if available,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t>((</w:t>
      </w:r>
      <w:r>
        <w:rPr>
          <w:strike/>
        </w:rPr>
        <w:t xml:space="preserve">(2)</w:t>
      </w:r>
      <w:r>
        <w:t>))</w:t>
      </w:r>
      <w:r>
        <w:rPr>
          <w:u w:val="single"/>
        </w:rPr>
        <w:t xml:space="preserve">(3)</w:t>
      </w:r>
      <w:r>
        <w:rPr/>
        <w:t xml:space="preserve">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t>((</w:t>
      </w:r>
      <w:r>
        <w:rPr>
          <w:strike/>
        </w:rPr>
        <w:t xml:space="preserve">(3)</w:t>
      </w:r>
      <w:r>
        <w:t>))</w:t>
      </w:r>
      <w:r>
        <w:rPr>
          <w:u w:val="single"/>
        </w:rPr>
        <w:t xml:space="preserve">(4)</w:t>
      </w:r>
      <w:r>
        <w:rPr/>
        <w:t xml:space="preserve">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w:t>
      </w:r>
      <w:r>
        <w:t>((</w:t>
      </w:r>
      <w:r>
        <w:rPr>
          <w:strike/>
        </w:rPr>
        <w:t xml:space="preserve">Operation of a school truancy board does not excuse a district from the obligation of filing a petition within the requirements of RCW 28A.225.015(3).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w:t>
      </w:r>
      <w:r>
        <w:t>((</w:t>
      </w:r>
      <w:r>
        <w:rPr>
          <w:strike/>
        </w:rPr>
        <w:t xml:space="preserve">if the actions taken by a</w:t>
      </w:r>
      <w:r>
        <w:t>))</w:t>
      </w:r>
      <w:r>
        <w:rPr>
          <w:u w:val="single"/>
        </w:rPr>
        <w:t xml:space="preserve">the</w:t>
      </w:r>
      <w:r>
        <w:rPr/>
        <w:t xml:space="preserve"> school district </w:t>
      </w:r>
      <w:r>
        <w:rPr>
          <w:u w:val="single"/>
        </w:rPr>
        <w:t xml:space="preserve">takes actions</w:t>
      </w:r>
      <w:r>
        <w:rPr/>
        <w:t xml:space="preserve"> under RCW 28A.225.020 </w:t>
      </w:r>
      <w:r>
        <w:rPr>
          <w:u w:val="single"/>
        </w:rPr>
        <w:t xml:space="preserve">that</w:t>
      </w:r>
      <w:r>
        <w:rPr/>
        <w:t xml:space="preserve"> are not successful in substantially reducing an enrolled student's absences from public school, not later than the seventh unexcused absence by a child within any month during the current school year or not later than the tenth unexcused absence during the current school year</w:t>
      </w:r>
      <w:r>
        <w:rPr>
          <w:u w:val="single"/>
        </w:rPr>
        <w:t xml:space="preserve">,</w:t>
      </w:r>
      <w:r>
        <w:rPr/>
        <w:t xml:space="preserve"> the school district </w:t>
      </w:r>
      <w:r>
        <w:t>((</w:t>
      </w:r>
      <w:r>
        <w:rPr>
          <w:strike/>
        </w:rPr>
        <w:t xml:space="preserve">shall</w:t>
      </w:r>
      <w:r>
        <w:t>))</w:t>
      </w:r>
      <w:r>
        <w:rPr>
          <w:u w:val="single"/>
        </w:rPr>
        <w:t xml:space="preserve">may</w:t>
      </w:r>
      <w:r>
        <w:rPr/>
        <w:t xml:space="preserve"> file a petition and supporting affidavit for a civil action with the juvenile court alleging a violation of RCW 28A.225.010: (a) By the parent; (b) by the child; or (c) by the parent and the child.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w:t>
      </w:r>
      <w:r>
        <w:t>((</w:t>
      </w:r>
      <w:r>
        <w:rPr>
          <w:strike/>
        </w:rPr>
        <w:t xml:space="preserve">shall not later than</w:t>
      </w:r>
      <w:r>
        <w:t>))</w:t>
      </w:r>
      <w:r>
        <w:rPr>
          <w:u w:val="single"/>
        </w:rPr>
        <w:t xml:space="preserve">may, after</w:t>
      </w:r>
      <w:r>
        <w:rPr/>
        <w:t xml:space="preserve">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if available,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w:t>
      </w:r>
      <w:r>
        <w:t>((</w:t>
      </w:r>
      <w:r>
        <w:rPr>
          <w:strike/>
        </w:rPr>
        <w:t xml:space="preserve">fails to</w:t>
      </w:r>
      <w:r>
        <w:t>))</w:t>
      </w:r>
      <w:r>
        <w:rPr>
          <w:u w:val="single"/>
        </w:rPr>
        <w:t xml:space="preserve">does not</w:t>
      </w:r>
      <w:r>
        <w:rPr/>
        <w:t xml:space="preserve">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w:t>
      </w:r>
      <w:r>
        <w:t>))</w:t>
      </w:r>
      <w:r>
        <w:rPr>
          <w:u w:val="single"/>
        </w:rPr>
        <w:t xml:space="preserve">if a school takes additional actions provided in RCW 28A.225.030, it</w:t>
      </w:r>
      <w:r>
        <w:rPr/>
        <w:t xml:space="preserve"> shall document the actions taken </w:t>
      </w:r>
      <w:r>
        <w:t>((</w:t>
      </w:r>
      <w:r>
        <w:rPr>
          <w:strike/>
        </w:rPr>
        <w:t xml:space="preserve">under RCW 28A.225.030</w:t>
      </w:r>
      <w:r>
        <w:t>))</w:t>
      </w:r>
      <w:r>
        <w:rPr/>
        <w:t xml:space="preserve">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pPr>
        <w:spacing w:before="0" w:after="0" w:line="408" w:lineRule="exact"/>
        <w:ind w:left="0" w:right="0" w:firstLine="576"/>
        <w:jc w:val="left"/>
      </w:pPr>
      <w:r>
        <w:rPr/>
        <w:t xml:space="preserve">(2) The reports under subsection (1) of this section shall include: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t xml:space="preserve">(c) The number of enrolled students with ten or more unexcused absences in a school year or five or more unexcused absences in a month during a school year;</w:t>
      </w:r>
    </w:p>
    <w:p>
      <w:pPr>
        <w:spacing w:before="0" w:after="0" w:line="408" w:lineRule="exact"/>
        <w:ind w:left="0" w:right="0" w:firstLine="576"/>
        <w:jc w:val="left"/>
      </w:pPr>
      <w:r>
        <w:rPr/>
        <w:t xml:space="preserve">(d)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and</w:t>
      </w:r>
    </w:p>
    <w:p>
      <w:pPr>
        <w:spacing w:before="0" w:after="0" w:line="408" w:lineRule="exact"/>
        <w:ind w:left="0" w:right="0" w:firstLine="576"/>
        <w:jc w:val="left"/>
      </w:pPr>
      <w:r>
        <w:rPr/>
        <w:t xml:space="preserve">(e) The number of petitions filed by a school district with the juvenile court.</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superintendent of public instruction shall collect these reports from all school districts and prepare an annual report for each school year to be submitted to the legislature no later than December 15th of each year.</w:t>
      </w:r>
    </w:p>
    <w:p/>
    <w:p>
      <w:pPr>
        <w:jc w:val="center"/>
      </w:pPr>
      <w:r>
        <w:rPr>
          <w:b/>
        </w:rPr>
        <w:t>--- END ---</w:t>
      </w:r>
    </w:p>
    <w:sectPr>
      <w:pgNumType w:start="1"/>
      <w:footerReference xmlns:r="http://schemas.openxmlformats.org/officeDocument/2006/relationships" r:id="Rc5bc3c1030f84c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ea9b5f7bc4e87" /><Relationship Type="http://schemas.openxmlformats.org/officeDocument/2006/relationships/footer" Target="/word/footer.xml" Id="Rc5bc3c1030f84c8e" /></Relationships>
</file>