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bceb9030f34183" /></Relationships>
</file>

<file path=word/document.xml><?xml version="1.0" encoding="utf-8"?>
<w:document xmlns:w="http://schemas.openxmlformats.org/wordprocessingml/2006/main">
  <w:body>
    <w:p>
      <w:r>
        <w:t>H-0764.1</w:t>
      </w:r>
    </w:p>
    <w:p>
      <w:pPr>
        <w:jc w:val="center"/>
      </w:pPr>
      <w:r>
        <w:t>_______________________________________________</w:t>
      </w:r>
    </w:p>
    <w:p/>
    <w:p>
      <w:pPr>
        <w:jc w:val="center"/>
      </w:pPr>
      <w:r>
        <w:rPr>
          <w:b/>
        </w:rPr>
        <w:t>HOUSE BILL 1276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Goodman, Hayes, Orwall, Moscoso, Pettigrew, Zeiger, Kilduff, and Fey</w:t>
      </w:r>
    </w:p>
    <w:p/>
    <w:p>
      <w:r>
        <w:rPr>
          <w:t xml:space="preserve">Read first time 01/16/15.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10.21.055, 46.20.385, 46.20.740, 46.20.308, 46.20.750, 46.25.120, 46.61.140, 46.61.5055, 43.43.395, 9.94A.533, 46.61.520, 68.50.160, 9.94A.589, and 46.61.504; reenacting and amending RCW 46.52.130; adding a new section to chapter 46.61 RCW; and prescribing penalties.</w:t>
      </w:r>
    </w:p>
    <w:p>
      <w:r>
        <w:t/>
      </w:r>
    </w:p>
    <w:p>
      <w:r>
        <w:t>BE IT ENACTED BY THE LEGISLATURE OF THE STATE OF WASHINGTON:</w:t>
      </w:r>
    </w:p>
    <w:p>
      <w:pPr>
        <w:spacing w:before="240" w:after="0" w:line="408" w:lineRule="exact"/>
        <w:ind w:left="0" w:right="0" w:firstLine="576"/>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spacing w:before="0" w:after="0" w:line="408" w:lineRule="exact"/>
        <w:ind w:left="0" w:right="0" w:firstLine="576"/>
        <w:jc w:val="left"/>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before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u w:val="single"/>
        </w:rPr>
        <w:t xml:space="preserve">: (i)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 </w:t>
      </w:r>
      <w:r>
        <w:t>((</w:t>
      </w:r>
      <w:r>
        <w:rPr>
          <w:strike/>
        </w:rPr>
        <w:t xml:space="preserve">(b)</w:t>
      </w:r>
      <w:r>
        <w:t>))</w:t>
      </w:r>
      <w:r>
        <w:rPr>
          <w:u w:val="single"/>
        </w:rPr>
        <w:t xml:space="preserve">(ii) sign an affidavit agreeing not to drive, which shall be filed with the court by the person within five business days of the date of release from custody. The court may additionally require that the person</w:t>
      </w:r>
      <w:r>
        <w:rPr/>
        <w:t xml:space="preserve"> comply with 24/7 sobriety program monitoring, as defined in RCW 36.28A.330</w:t>
      </w:r>
      <w:r>
        <w:t>((</w:t>
      </w:r>
      <w:r>
        <w:rPr>
          <w:strike/>
        </w:rPr>
        <w:t xml:space="preserve">; or both</w:t>
      </w:r>
      <w:r>
        <w:t>))</w:t>
      </w:r>
      <w:r>
        <w:rPr/>
        <w:t xml:space="preserve">.</w:t>
      </w:r>
    </w:p>
    <w:p>
      <w:pPr>
        <w:spacing w:before="0" w:after="0" w:line="408" w:lineRule="exact"/>
        <w:ind w:left="0" w:right="0" w:firstLine="576"/>
        <w:jc w:val="left"/>
      </w:pPr>
      <w:r>
        <w:rPr>
          <w:u w:val="single"/>
        </w:rPr>
        <w:t xml:space="preserve">(b) The court shall immediately notify the department of licensing when an ignition interlock restriction is imposed as a condition of release pursuant to (a) of this subsection.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u w:val="single"/>
        </w:rPr>
        <w:t xml:space="preserve">(b) If the court authorizes removal of an ignition interlock device pursuant to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w:t>
      </w:r>
    </w:p>
    <w:p>
      <w:pPr>
        <w:spacing w:before="0" w:after="0" w:line="408" w:lineRule="exact"/>
        <w:ind w:left="0" w:right="0" w:firstLine="576"/>
        <w:jc w:val="left"/>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240" w:after="0" w:line="408" w:lineRule="exact"/>
        <w:ind w:left="0" w:right="0" w:firstLine="576"/>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spacing w:before="0" w:after="0" w:line="408" w:lineRule="exact"/>
        <w:ind w:left="0" w:right="0" w:firstLine="576"/>
        <w:jc w:val="left"/>
      </w:pPr>
      <w:r>
        <w:rPr/>
        <w:t xml:space="preserve">(1)(a) </w:t>
      </w:r>
      <w:r>
        <w:t>((</w:t>
      </w:r>
      <w:r>
        <w:rPr>
          <w:strike/>
        </w:rPr>
        <w:t xml:space="preserve">Beginning January 1, 2009,</w:t>
      </w:r>
      <w:r>
        <w:t>))</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240" w:after="0" w:line="408" w:lineRule="exact"/>
        <w:ind w:left="0" w:right="0" w:firstLine="576"/>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w:t>
      </w:r>
      <w:r>
        <w:t>((</w:t>
      </w:r>
      <w:r>
        <w:rPr>
          <w:strike/>
        </w:rPr>
        <w:t xml:space="preserve">or</w:t>
      </w:r>
      <w:r>
        <w:t>))</w:t>
      </w:r>
      <w:r>
        <w:rPr/>
        <w:t xml:space="preserve"> 10.05.140</w:t>
      </w:r>
      <w:r>
        <w:rPr>
          <w:u w:val="single"/>
        </w:rPr>
        <w:t xml:space="preserve">, or 10.21.055</w:t>
      </w:r>
      <w:r>
        <w:rPr/>
        <w:t xml:space="preserve">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spacing w:before="0" w:after="0" w:line="408" w:lineRule="exact"/>
        <w:ind w:left="0" w:right="0" w:firstLine="576"/>
        <w:jc w:val="left"/>
      </w:pPr>
      <w:r>
        <w:rPr>
          <w:u w:val="single"/>
        </w:rPr>
        <w:t xml:space="preserve">(3) Any sentence imposed for a violation of subsection (2) of this section shall be served consecutively with any sentence imposed under RCW 46.20.750, 46.61.502, 46.61.504, or 46.61.5055.</w:t>
      </w:r>
    </w:p>
    <w:p>
      <w:pPr>
        <w:spacing w:before="240" w:after="0" w:line="408" w:lineRule="exact"/>
        <w:ind w:left="0" w:right="0" w:firstLine="576"/>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 or presence of any drug</w:t>
      </w:r>
      <w:r>
        <w:t>))</w:t>
      </w:r>
      <w:r>
        <w:rPr/>
        <w:t xml:space="preserve">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w:t>
      </w:r>
      <w:r>
        <w:t>((</w:t>
      </w:r>
      <w:r>
        <w:rPr>
          <w:strike/>
        </w:rPr>
        <w:t xml:space="preserve">or THC</w:t>
      </w:r>
      <w:r>
        <w:t>))</w:t>
      </w:r>
      <w:r>
        <w:rPr/>
        <w:t xml:space="preserve">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w:t>
      </w:r>
      <w:r>
        <w:t>((</w:t>
      </w:r>
      <w:r>
        <w:rPr>
          <w:strike/>
        </w:rPr>
        <w:t xml:space="preserve">or that the THC concentration of the driver's blood is 5.00 or more</w:t>
      </w:r>
      <w:r>
        <w:t>))</w:t>
      </w:r>
      <w:r>
        <w:rPr/>
        <w:t xml:space="preserv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spacing w:before="0" w:after="0" w:line="408" w:lineRule="exact"/>
        <w:ind w:left="0" w:right="0" w:firstLine="576"/>
        <w:jc w:val="left"/>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u w:val="single"/>
        </w:rPr>
        <w:t xml:space="preserve">law</w:t>
      </w:r>
      <w:r>
        <w:rPr/>
        <w:t xml:space="preserve">.</w:t>
      </w:r>
    </w:p>
    <w:p>
      <w:pPr>
        <w:spacing w:before="0" w:after="0" w:line="408" w:lineRule="exact"/>
        <w:ind w:left="0" w:right="0" w:firstLine="576"/>
        <w:jc w:val="left"/>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or marijuana levels, is drawn pursuant to this section when the officer has probable grounds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w:t>
      </w:r>
      <w:r>
        <w:t>((</w:t>
      </w:r>
      <w:r>
        <w:rPr>
          <w:strike/>
        </w:rPr>
        <w:t xml:space="preserve">the</w:t>
      </w:r>
      <w:r>
        <w:t>))</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w:t>
      </w:r>
      <w:r>
        <w:t>((</w:t>
      </w:r>
      <w:r>
        <w:rPr>
          <w:strike/>
        </w:rPr>
        <w:t xml:space="preserve">the</w:t>
      </w:r>
      <w:r>
        <w:t>))</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in actual physical control of a motor vehicle if the person was age twenty-one or under at the time of the arrest, or while having alcohol in his or her system in a concentration of 0.02 or more, or THC in his or her system in a concentration above 0.00, the person may petition the hearing officer to apply the affirmative defense found in RCW 46.61.504(3) and 46.61.503(3). The driver shall have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240" w:after="0" w:line="408" w:lineRule="exact"/>
        <w:ind w:left="0" w:right="0" w:firstLine="576"/>
        <w:jc w:val="center"/>
      </w:pPr>
      <w:r>
        <w:rPr>
          <w:b/>
        </w:rPr>
        <w:t xml:space="preserve">Circumventing ignition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spacing w:before="0" w:after="0" w:line="408" w:lineRule="exact"/>
        <w:ind w:left="0" w:right="0" w:firstLine="576"/>
        <w:jc w:val="left"/>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spacing w:before="0" w:after="0" w:line="408" w:lineRule="exact"/>
        <w:ind w:left="0" w:right="0" w:firstLine="576"/>
        <w:jc w:val="left"/>
      </w:pPr>
      <w:r>
        <w:rPr>
          <w:u w:val="single"/>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u w:val="single"/>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u w:val="single"/>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u w:val="single"/>
        </w:rPr>
        <w:t xml:space="preserve">(3) Any sentence imposed for a violation of subsection (1) of this section shall be served consecutively with any sentence imposed under RCW 46.20.740, 46.61.502, 46.61.504, 46.61.5055, 46.61.520(1)(a), or 46.61.522(1)(b).</w:t>
      </w:r>
    </w:p>
    <w:p>
      <w:pPr>
        <w:spacing w:before="240" w:after="0" w:line="408" w:lineRule="exact"/>
        <w:ind w:left="0" w:right="0" w:firstLine="576"/>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w:t>
      </w:r>
      <w:r>
        <w:t>((</w:t>
      </w:r>
      <w:r>
        <w:rPr>
          <w:strike/>
        </w:rPr>
        <w:t xml:space="preserve">or the presence of other drugs</w:t>
      </w:r>
      <w:r>
        <w:t>))</w:t>
      </w:r>
      <w:r>
        <w:rPr/>
        <w:t xml:space="preserve">.</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probable cause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w:t>
      </w:r>
      <w:r>
        <w:rPr>
          <w:u w:val="single"/>
        </w:rPr>
        <w:t xml:space="preserve">A law enforcement officer who at the time of stopping or detaining a commercial motor vehicle driver has probable cause to believe that driver was driving a commercial motor vehicle while having alcohol, marijuana, or any drug in his or her system or while under the influence of alcohol, marijuana, or any drug may obtain a breath or blood test pursuant to a search warrant, a valid waiver of the warrant requirement, when exigent circumstances exist, or under any other authority of law.</w:t>
      </w:r>
    </w:p>
    <w:p>
      <w:pPr>
        <w:spacing w:before="0" w:after="0" w:line="408" w:lineRule="exact"/>
        <w:ind w:left="0" w:right="0" w:firstLine="576"/>
        <w:jc w:val="left"/>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breath or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spacing w:before="0" w:after="0" w:line="408" w:lineRule="exact"/>
        <w:ind w:left="0" w:right="0" w:firstLine="576"/>
        <w:jc w:val="left"/>
      </w:pPr>
      <w:r>
        <w:t>((</w:t>
      </w:r>
      <w:r>
        <w:rPr>
          <w:strike/>
        </w:rPr>
        <w:t xml:space="preserve">(5)</w:t>
      </w:r>
      <w:r>
        <w:t>))</w:t>
      </w:r>
      <w:r>
        <w:rPr>
          <w:u w:val="single"/>
        </w:rPr>
        <w:t xml:space="preserve">(6)</w:t>
      </w:r>
      <w:r>
        <w:rPr/>
        <w:t xml:space="preserve"> Upon receipt of the sworn report of a law enforcement officer under subsection </w:t>
      </w:r>
      <w:r>
        <w:t>((</w:t>
      </w:r>
      <w:r>
        <w:rPr>
          <w:strike/>
        </w:rPr>
        <w:t xml:space="preserve">(4)</w:t>
      </w:r>
      <w:r>
        <w:t>))</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t>((</w:t>
      </w:r>
      <w:r>
        <w:rPr>
          <w:strike/>
        </w:rPr>
        <w:t xml:space="preserve">(6)</w:t>
      </w:r>
      <w:r>
        <w:t>))</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t>((</w:t>
      </w:r>
      <w:r>
        <w:rPr>
          <w:strike/>
        </w:rPr>
        <w:t xml:space="preserve">(7)</w:t>
      </w:r>
      <w:r>
        <w:t>))</w:t>
      </w:r>
      <w:r>
        <w:rPr>
          <w:u w:val="single"/>
        </w:rPr>
        <w:t xml:space="preserve">(8)</w:t>
      </w:r>
      <w:r>
        <w:rPr/>
        <w:t xml:space="preserve"> The hearing provisions of this section do not apply to those persons disqualified from driving a commercial motor vehicle under RCW 46.25.090(7).</w:t>
      </w:r>
    </w:p>
    <w:p>
      <w:pPr>
        <w:spacing w:before="240" w:after="0" w:line="408" w:lineRule="exact"/>
        <w:ind w:left="0" w:right="0" w:firstLine="576"/>
        <w:jc w:val="center"/>
      </w:pPr>
      <w:r>
        <w:rPr>
          <w:b/>
        </w:rPr>
        <w:t xml:space="preserve">Open container law for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it is a traffic infraction:</w:t>
      </w:r>
    </w:p>
    <w:p>
      <w:pPr>
        <w:spacing w:before="0" w:after="0" w:line="408" w:lineRule="exact"/>
        <w:ind w:left="0" w:right="0" w:firstLine="576"/>
        <w:jc w:val="left"/>
      </w:pPr>
      <w:r>
        <w:rPr/>
        <w:t xml:space="preserve">(a) For the registered owner of a motor vehicle, or the driver if the registered owner is not then present in the vehicle, to keep in a motor vehicle when the vehicle is upon a highway a bag or other receptacle containing marijuana unless the container is kept in the trunk of the vehicle or in some other area of the vehicle not normally occupied by the driver or passengers if the vehicle does not have a trunk. A utility compartment or glove compartment is deemed to be within the area occupied by the driver and passengers;</w:t>
      </w:r>
    </w:p>
    <w:p>
      <w:pPr>
        <w:spacing w:before="0" w:after="0" w:line="408" w:lineRule="exact"/>
        <w:ind w:left="0" w:right="0" w:firstLine="576"/>
        <w:jc w:val="left"/>
      </w:pPr>
      <w:r>
        <w:rPr/>
        <w:t xml:space="preserve">(b) To smoke or ingest marijuana in a motor vehicle when the vehicle is upon the public highway;</w:t>
      </w:r>
    </w:p>
    <w:p>
      <w:pPr>
        <w:spacing w:before="0" w:after="0" w:line="408" w:lineRule="exact"/>
        <w:ind w:left="0" w:right="0" w:firstLine="576"/>
        <w:jc w:val="left"/>
      </w:pPr>
      <w:r>
        <w:rPr/>
        <w:t xml:space="preserve">(c) To incorrectly label the original container of marijuana and to then violate (a) of this subsection; or</w:t>
      </w:r>
    </w:p>
    <w:p>
      <w:pPr>
        <w:spacing w:before="0" w:after="0" w:line="408" w:lineRule="exact"/>
        <w:ind w:left="0" w:right="0" w:firstLine="576"/>
        <w:jc w:val="left"/>
      </w:pPr>
      <w:r>
        <w:rPr/>
        <w:t xml:space="preserve">(d) To place marijuana in a container specifically labeled by the manufacturer of the container as containing a nonmarijuana substance and to then violate (a) of this subsection.</w:t>
      </w:r>
    </w:p>
    <w:p>
      <w:pPr>
        <w:spacing w:before="0" w:after="0" w:line="408" w:lineRule="exact"/>
        <w:ind w:left="0" w:right="0" w:firstLine="576"/>
        <w:jc w:val="left"/>
      </w:pPr>
      <w:r>
        <w:rPr/>
        <w:t xml:space="preserve">(2) It is not a traffic infraction for an adult driver, age twenty-one years old or older, to possess marijuana in a motor vehicle while the vehicle is upon a highway provided the marijuana is fully sealed in the same labeled, commercial packaging that contained the marijuana at the time of purchase from a marijuana retailer licensed under RCW 69.50.325(3). For the purposes of this subsection (2), "sealed" means that the package remains unopened, none of the original contents removed, and the original seal is unbroken and intact.</w:t>
      </w:r>
    </w:p>
    <w:p>
      <w:pPr>
        <w:spacing w:before="0" w:after="0" w:line="408" w:lineRule="exact"/>
        <w:ind w:left="0" w:right="0" w:firstLine="576"/>
        <w:jc w:val="left"/>
      </w:pPr>
      <w:r>
        <w:rPr/>
        <w:t xml:space="preserve">(3)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240" w:after="0" w:line="408" w:lineRule="exact"/>
        <w:ind w:left="0" w:right="0" w:firstLine="576"/>
        <w:jc w:val="center"/>
      </w:pPr>
      <w:r>
        <w:rPr>
          <w:b/>
        </w:rPr>
        <w:t xml:space="preserve">Driving on roadways laned for traffic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w:t>
      </w:r>
      <w:r>
        <w:t>((</w:t>
      </w:r>
      <w:r>
        <w:rPr>
          <w:strike/>
        </w:rPr>
        <w:t xml:space="preserve">as nearly as practicable</w:t>
      </w:r>
      <w:r>
        <w:t>))</w:t>
      </w:r>
      <w:r>
        <w:rPr/>
        <w:t xml:space="preserv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It is an affirmative defense to a violation of this section, which the driver must establish by a preponderance of the evidence, that the vehicle crossed into another lane as a result of an act, omission, or occurrence outside of the driver's immediate control and only to the minimum extent reasonably necessary under the circumstances.</w:t>
      </w:r>
    </w:p>
    <w:p>
      <w:pPr>
        <w:spacing w:before="240" w:after="0" w:line="408" w:lineRule="exact"/>
        <w:ind w:left="0" w:right="0" w:firstLine="576"/>
        <w:jc w:val="center"/>
      </w:pPr>
      <w:r>
        <w:rPr>
          <w:b/>
        </w:rPr>
        <w:t xml:space="preserve">Alcohol and drug violators</w:t>
      </w:r>
      <w:r>
        <w:rPr>
          <w:rFonts w:ascii="Times New Roman" w:hAnsi="Times New Roman"/>
          <w:b/>
        </w:rPr>
        <w:t xml:space="preserve">—</w:t>
      </w:r>
      <w:r>
        <w:rPr>
          <w:b/>
        </w:rPr>
        <w:t xml:space="preserve">Penalty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w:t>
      </w:r>
      <w:r>
        <w:t>((</w:t>
      </w:r>
      <w:r>
        <w:rPr>
          <w:strike/>
        </w:rPr>
        <w:t xml:space="preserve">(6)</w:t>
      </w:r>
      <w:r>
        <w:t>))</w:t>
      </w:r>
      <w:r>
        <w:rPr>
          <w:u w:val="single"/>
        </w:rPr>
        <w:t xml:space="preserve">(7)</w:t>
      </w:r>
      <w:r>
        <w:rPr/>
        <w:t xml:space="preserve">,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w:t>
      </w:r>
      <w:r>
        <w:t>((</w:t>
      </w:r>
      <w:r>
        <w:rPr>
          <w:strike/>
        </w:rPr>
        <w:t xml:space="preserve">(6)</w:t>
      </w:r>
      <w:r>
        <w:t>))</w:t>
      </w:r>
      <w:r>
        <w:rPr>
          <w:u w:val="single"/>
        </w:rPr>
        <w:t xml:space="preserve">(7)</w:t>
      </w:r>
      <w:r>
        <w:rPr/>
        <w:t xml:space="preserve">,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w:t>
      </w:r>
      <w:r>
        <w:t>((</w:t>
      </w:r>
      <w:r>
        <w:rPr>
          <w:strike/>
        </w:rPr>
        <w:t xml:space="preserve">(6)</w:t>
      </w:r>
      <w:r>
        <w:t>))</w:t>
      </w:r>
      <w:r>
        <w:rPr>
          <w:u w:val="single"/>
        </w:rPr>
        <w:t xml:space="preserve">(7)</w:t>
      </w:r>
      <w:r>
        <w:rPr/>
        <w:t xml:space="preserve">,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w:t>
      </w:r>
      <w:r>
        <w:t>((</w:t>
      </w:r>
      <w:r>
        <w:rPr>
          <w:strike/>
        </w:rPr>
        <w:t xml:space="preserve">(6)</w:t>
      </w:r>
      <w:r>
        <w:t>))</w:t>
      </w:r>
      <w:r>
        <w:rPr>
          <w:u w:val="single"/>
        </w:rPr>
        <w:t xml:space="preserve">(7)</w:t>
      </w:r>
      <w:r>
        <w:rPr/>
        <w:t xml:space="preserve">.</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w:t>
      </w:r>
      <w:r>
        <w:t>((</w:t>
      </w:r>
      <w:r>
        <w:rPr>
          <w:strike/>
        </w:rPr>
        <w:t xml:space="preserve">(6)</w:t>
      </w:r>
      <w:r>
        <w:t>))</w:t>
      </w:r>
      <w:r>
        <w:rPr>
          <w:u w:val="single"/>
        </w:rPr>
        <w:t xml:space="preserve">(7)</w:t>
      </w:r>
      <w:r>
        <w:rPr/>
        <w:t xml:space="preserve">,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w:t>
      </w:r>
      <w:r>
        <w:t>((</w:t>
      </w:r>
      <w:r>
        <w:rPr>
          <w:strike/>
        </w:rPr>
        <w:t xml:space="preserve">(6)</w:t>
      </w:r>
      <w:r>
        <w:t>))</w:t>
      </w:r>
      <w:r>
        <w:rPr>
          <w:u w:val="single"/>
        </w:rPr>
        <w:t xml:space="preserve">(7)</w:t>
      </w:r>
      <w:r>
        <w:rPr/>
        <w:t xml:space="preserve">,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w:t>
      </w:r>
      <w:r>
        <w:t>((</w:t>
      </w:r>
      <w:r>
        <w:rPr>
          <w:strike/>
        </w:rPr>
        <w:t xml:space="preserve">(6)</w:t>
      </w:r>
      <w:r>
        <w:t>))</w:t>
      </w:r>
      <w:r>
        <w:rPr>
          <w:u w:val="single"/>
        </w:rPr>
        <w:t xml:space="preserve">(7)</w:t>
      </w:r>
      <w:r>
        <w:rPr/>
        <w:t xml:space="preserve">,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w:t>
      </w:r>
      <w:r>
        <w:t>((</w:t>
      </w:r>
      <w:r>
        <w:rPr>
          <w:strike/>
        </w:rPr>
        <w:t xml:space="preserve">or</w:t>
      </w:r>
      <w:r>
        <w:t>))</w:t>
      </w:r>
      <w:r>
        <w:rPr/>
        <w:t xml:space="preserve"> (iii)</w:t>
      </w:r>
      <w:r>
        <w:rPr>
          <w:u w:val="single"/>
        </w:rPr>
        <w:t xml:space="preserve">, (vi), or (v)</w:t>
      </w:r>
      <w:r>
        <w:rPr/>
        <w:t xml:space="preserve"> of this subsection, </w:t>
      </w:r>
      <w:r>
        <w:rPr>
          <w:u w:val="single"/>
        </w:rPr>
        <w:t xml:space="preserve">or for a violation of RCW 46.20.342(1) (a) or (b),</w:t>
      </w:r>
      <w:r>
        <w:rPr/>
        <w:t xml:space="preserve">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w:t>
      </w:r>
      <w:r>
        <w:rPr>
          <w:u w:val="single"/>
        </w:rPr>
        <w:t xml:space="preserve">(2)</w:t>
      </w:r>
      <w:r>
        <w:rPr/>
        <w:t xml:space="preserve"> or an equivalent local ordinance;</w:t>
      </w:r>
    </w:p>
    <w:p>
      <w:pPr>
        <w:spacing w:before="0" w:after="0" w:line="408" w:lineRule="exact"/>
        <w:ind w:left="0" w:right="0" w:firstLine="576"/>
        <w:jc w:val="left"/>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spacing w:before="0" w:after="0" w:line="408" w:lineRule="exact"/>
        <w:ind w:left="0" w:right="0" w:firstLine="576"/>
        <w:jc w:val="left"/>
      </w:pPr>
      <w:r>
        <w:t>((</w:t>
      </w:r>
      <w:r>
        <w:rPr>
          <w:strike/>
        </w:rPr>
        <w:t xml:space="preserve">(vi)</w:t>
      </w:r>
      <w:r>
        <w:t>))</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u w:val="single"/>
        </w:rPr>
        <w:t xml:space="preserve">(viii) A conviction for a violation of RCW 46.61.503 or an equivalent local ordinance;</w:t>
      </w:r>
    </w:p>
    <w:p>
      <w:pPr>
        <w:spacing w:before="0" w:after="0" w:line="408" w:lineRule="exact"/>
        <w:ind w:left="0" w:right="0" w:firstLine="576"/>
        <w:jc w:val="left"/>
      </w:pPr>
      <w:r>
        <w:rPr>
          <w:u w:val="single"/>
        </w:rPr>
        <w:t xml:space="preserve">(ix) A conviction for a violation of RCW 79A.60.060(2)(b) or an equivalent local ordinance;</w:t>
      </w:r>
    </w:p>
    <w:p>
      <w:pPr>
        <w:spacing w:before="0" w:after="0" w:line="408" w:lineRule="exact"/>
        <w:ind w:left="0" w:right="0" w:firstLine="576"/>
        <w:jc w:val="left"/>
      </w:pPr>
      <w:r>
        <w:rPr>
          <w:u w:val="single"/>
        </w:rPr>
        <w:t xml:space="preserve">(x) A conviction for a violation of RCW 79A.60.060(2)(a) or an equivalent local ordinance if the conviction is the result of a charge that was originally filed as a violation of RCW 79A.60.060(2)(b) or an equivalent local ordinance;</w:t>
      </w:r>
    </w:p>
    <w:p>
      <w:pPr>
        <w:spacing w:before="0" w:after="0" w:line="408" w:lineRule="exact"/>
        <w:ind w:left="0" w:right="0" w:firstLine="576"/>
        <w:jc w:val="left"/>
      </w:pPr>
      <w:r>
        <w:rPr>
          <w:u w:val="single"/>
        </w:rPr>
        <w:t xml:space="preserve">(xi) A conviction for a violation of RCW 79A.60.050(1)(a) or an equivalent local ordinance;</w:t>
      </w:r>
    </w:p>
    <w:p>
      <w:pPr>
        <w:spacing w:before="0" w:after="0" w:line="408" w:lineRule="exact"/>
        <w:ind w:left="0" w:right="0" w:firstLine="576"/>
        <w:jc w:val="left"/>
      </w:pPr>
      <w:r>
        <w:rPr>
          <w:u w:val="single"/>
        </w:rPr>
        <w:t xml:space="preserve">(xii) A conviction for a violation of RCW 79A.60.050(1) (b) or (c), or an equivalent local ordinance if the conviction is the result of a charge that was originally filed as a violation of RCW 79A.60.050(1)(a) or an equivalent local ordinance;</w:t>
      </w:r>
    </w:p>
    <w:p>
      <w:pPr>
        <w:spacing w:before="0" w:after="0" w:line="408" w:lineRule="exact"/>
        <w:ind w:left="0" w:right="0" w:firstLine="576"/>
        <w:jc w:val="left"/>
      </w:pPr>
      <w:r>
        <w:rPr>
          <w:u w:val="single"/>
        </w:rPr>
        <w:t xml:space="preserve">(xiii)</w:t>
      </w:r>
      <w:r>
        <w:rPr/>
        <w:t xml:space="preserve"> A conviction for a violation of RCW 46.09.470(2) or an equivalent local ordinance;</w:t>
      </w:r>
    </w:p>
    <w:p>
      <w:pPr>
        <w:spacing w:before="0" w:after="0" w:line="408" w:lineRule="exact"/>
        <w:ind w:left="0" w:right="0" w:firstLine="576"/>
        <w:jc w:val="left"/>
      </w:pPr>
      <w:r>
        <w:t>((</w:t>
      </w:r>
      <w:r>
        <w:rPr>
          <w:strike/>
        </w:rPr>
        <w:t xml:space="preserve">(vii)</w:t>
      </w:r>
      <w:r>
        <w:t>))</w:t>
      </w:r>
      <w:r>
        <w:rPr>
          <w:u w:val="single"/>
        </w:rPr>
        <w:t xml:space="preserve">(xiv)</w:t>
      </w:r>
      <w:r>
        <w:rPr/>
        <w:t xml:space="preserve"> A conviction for a violation of RCW 46.10.490(2) or an equivalent local ordinance;</w:t>
      </w:r>
    </w:p>
    <w:p>
      <w:pPr>
        <w:spacing w:before="0" w:after="0" w:line="408" w:lineRule="exact"/>
        <w:ind w:left="0" w:right="0" w:firstLine="576"/>
        <w:jc w:val="left"/>
      </w:pPr>
      <w:r>
        <w:t>((</w:t>
      </w:r>
      <w:r>
        <w:rPr>
          <w:strike/>
        </w:rPr>
        <w:t xml:space="preserve">(viii)</w:t>
      </w:r>
      <w:r>
        <w:t>))</w:t>
      </w:r>
      <w:r>
        <w:rPr>
          <w:u w:val="single"/>
        </w:rPr>
        <w:t xml:space="preserve">(xv)</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t>((</w:t>
      </w:r>
      <w:r>
        <w:rPr>
          <w:strike/>
        </w:rPr>
        <w:t xml:space="preserve">(ix)</w:t>
      </w:r>
      <w:r>
        <w:t>))</w:t>
      </w:r>
      <w:r>
        <w:rPr>
          <w:u w:val="single"/>
        </w:rPr>
        <w:t xml:space="preserve">(xvi)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t>((</w:t>
      </w:r>
      <w:r>
        <w:rPr>
          <w:strike/>
        </w:rPr>
        <w:t xml:space="preserve">(x)</w:t>
      </w:r>
      <w:r>
        <w:t>))</w:t>
      </w:r>
      <w:r>
        <w:rPr>
          <w:u w:val="single"/>
        </w:rPr>
        <w:t xml:space="preserve">(xvii)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w:t>
      </w:r>
      <w:r>
        <w:t>))</w:t>
      </w:r>
      <w:r>
        <w:rPr>
          <w:u w:val="single"/>
        </w:rPr>
        <w:t xml:space="preserve">(xviii)</w:t>
      </w:r>
      <w:r>
        <w:rPr/>
        <w:t xml:space="preserve"> An out-of-state conviction for a violation that would have been a violation of (a)(i), (ii), </w:t>
      </w:r>
      <w:r>
        <w:t>((</w:t>
      </w:r>
      <w:r>
        <w:rPr>
          <w:strike/>
        </w:rPr>
        <w:t xml:space="preserve">(viii)</w:t>
      </w:r>
      <w:r>
        <w:t>))</w:t>
      </w:r>
      <w:r>
        <w:rPr>
          <w:u w:val="single"/>
        </w:rPr>
        <w:t xml:space="preserve">(xv)</w:t>
      </w:r>
      <w:r>
        <w:rPr/>
        <w:t xml:space="preserve">, </w:t>
      </w:r>
      <w:r>
        <w:t>((</w:t>
      </w:r>
      <w:r>
        <w:rPr>
          <w:strike/>
        </w:rPr>
        <w:t xml:space="preserve">(ix)</w:t>
      </w:r>
      <w:r>
        <w:t>))</w:t>
      </w:r>
      <w:r>
        <w:rPr>
          <w:u w:val="single"/>
        </w:rPr>
        <w:t xml:space="preserve">(xvi)</w:t>
      </w:r>
      <w:r>
        <w:rPr/>
        <w:t xml:space="preserve">, or </w:t>
      </w:r>
      <w:r>
        <w:t>((</w:t>
      </w:r>
      <w:r>
        <w:rPr>
          <w:strike/>
        </w:rPr>
        <w:t xml:space="preserve">(x)</w:t>
      </w:r>
      <w:r>
        <w:t>))</w:t>
      </w:r>
      <w:r>
        <w:rPr>
          <w:u w:val="single"/>
        </w:rPr>
        <w:t xml:space="preserve">(xvii)</w:t>
      </w:r>
      <w:r>
        <w:rPr/>
        <w:t xml:space="preserve"> of this subsection if committed in this state;</w:t>
      </w:r>
    </w:p>
    <w:p>
      <w:pPr>
        <w:spacing w:before="0" w:after="0" w:line="408" w:lineRule="exact"/>
        <w:ind w:left="0" w:right="0" w:firstLine="576"/>
        <w:jc w:val="left"/>
      </w:pPr>
      <w:r>
        <w:t>((</w:t>
      </w:r>
      <w:r>
        <w:rPr>
          <w:strike/>
        </w:rPr>
        <w:t xml:space="preserve">(xii)</w:t>
      </w:r>
      <w:r>
        <w:t>))</w:t>
      </w:r>
      <w:r>
        <w:rPr>
          <w:u w:val="single"/>
        </w:rPr>
        <w:t xml:space="preserve">(xix)</w:t>
      </w:r>
      <w:r>
        <w:rPr/>
        <w:t xml:space="preserve"> A deferred prosecution under chapter 10.05 RCW granted in a prosecution for a violation of RCW 46.61.502, 46.61.504, or an equivalent local ordinance;</w:t>
      </w:r>
    </w:p>
    <w:p>
      <w:pPr>
        <w:spacing w:before="0" w:after="0" w:line="408" w:lineRule="exact"/>
        <w:ind w:left="0" w:right="0" w:firstLine="576"/>
        <w:jc w:val="left"/>
      </w:pPr>
      <w:r>
        <w:t>((</w:t>
      </w:r>
      <w:r>
        <w:rPr>
          <w:strike/>
        </w:rPr>
        <w:t xml:space="preserve">(xiii)</w:t>
      </w:r>
      <w:r>
        <w:t>))</w:t>
      </w:r>
      <w:r>
        <w:rPr>
          <w:u w:val="single"/>
        </w:rPr>
        <w:t xml:space="preserve">(xx)</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(xiv)</w:t>
      </w:r>
      <w:r>
        <w:t>))</w:t>
      </w:r>
      <w:r>
        <w:rPr>
          <w:u w:val="single"/>
        </w:rPr>
        <w:t xml:space="preserve">(xxi)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t>((</w:t>
      </w:r>
      <w:r>
        <w:rPr>
          <w:strike/>
        </w:rPr>
        <w:t xml:space="preserve">(xv)</w:t>
      </w:r>
      <w:r>
        <w:t>))</w:t>
      </w:r>
      <w:r>
        <w:rPr>
          <w:u w:val="single"/>
        </w:rPr>
        <w:t xml:space="preserve">(xxii)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240" w:after="0" w:line="408" w:lineRule="exact"/>
        <w:ind w:left="0" w:right="0" w:firstLine="576"/>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spacing w:before="0" w:after="0" w:line="408" w:lineRule="exact"/>
        <w:ind w:left="0" w:right="0" w:firstLine="576"/>
        <w:jc w:val="left"/>
      </w:pPr>
      <w:r>
        <w:rPr/>
        <w:t xml:space="preserve">(3)(a) An ignition interlock device must employ</w:t>
      </w:r>
      <w:r>
        <w:rPr>
          <w:u w:val="single"/>
        </w:rPr>
        <w:t xml:space="preserve">:</w:t>
      </w:r>
    </w:p>
    <w:p>
      <w:pPr>
        <w:spacing w:before="0" w:after="0" w:line="408" w:lineRule="exact"/>
        <w:ind w:left="0" w:right="0" w:firstLine="576"/>
        <w:jc w:val="left"/>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spacing w:before="0" w:after="0" w:line="408" w:lineRule="exact"/>
        <w:ind w:left="0" w:right="0" w:firstLine="576"/>
        <w:jc w:val="left"/>
      </w:pPr>
      <w:r>
        <w:rPr>
          <w:strike/>
        </w:rPr>
        <w:t xml:space="preserve">(b) When reasonably available in the area, as determined by the state patrol, an ignition interlock device must employ</w:t>
      </w:r>
      <w:r>
        <w:t>))</w:t>
      </w:r>
      <w:r>
        <w:rPr>
          <w:u w:val="single"/>
        </w:rPr>
        <w:t xml:space="preserve">;</w:t>
      </w:r>
    </w:p>
    <w:p>
      <w:pPr>
        <w:spacing w:before="0" w:after="0" w:line="408" w:lineRule="exact"/>
        <w:ind w:left="0" w:right="0" w:firstLine="576"/>
        <w:jc w:val="left"/>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spacing w:before="0" w:after="0" w:line="408" w:lineRule="exact"/>
        <w:ind w:left="0" w:right="0" w:firstLine="576"/>
        <w:jc w:val="left"/>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spacing w:before="0" w:after="0" w:line="408" w:lineRule="exact"/>
        <w:ind w:left="0" w:right="0" w:firstLine="576"/>
        <w:jc w:val="left"/>
      </w:pPr>
      <w:r>
        <w:t>((</w:t>
      </w:r>
      <w:r>
        <w:rPr>
          <w:strike/>
        </w:rPr>
        <w:t xml:space="preserve">(c)</w:t>
      </w:r>
      <w:r>
        <w:t>))</w:t>
      </w:r>
      <w:r>
        <w:rPr>
          <w:u w:val="single"/>
        </w:rPr>
        <w:t xml:space="preserve">(b)</w:t>
      </w:r>
      <w:r>
        <w:rPr/>
        <w:t xml:space="preserve">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by </w:t>
      </w:r>
      <w:r>
        <w:rPr>
          <w:u w:val="single"/>
        </w:rPr>
        <w:t xml:space="preserve">ISO,</w:t>
      </w:r>
      <w:r>
        <w:rPr/>
        <w:t xml:space="preserve"> the international organization of standardization </w:t>
      </w:r>
      <w:r>
        <w:rPr>
          <w:u w:val="single"/>
        </w:rPr>
        <w:t xml:space="preserve">under the current edition of the ISO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0" w:after="0" w:line="408" w:lineRule="exact"/>
        <w:ind w:left="0" w:right="0" w:firstLine="576"/>
        <w:jc w:val="left"/>
      </w:pPr>
      <w:r>
        <w:rPr/>
        <w:t xml:space="preserve">(ii) Be maintained in accordance with the rules and standards adopted by the state patrol.</w:t>
      </w:r>
    </w:p>
    <w:p>
      <w:pPr>
        <w:spacing w:before="240" w:after="0" w:line="408" w:lineRule="exact"/>
        <w:ind w:left="0" w:right="0" w:firstLine="576"/>
        <w:jc w:val="center"/>
      </w:pPr>
      <w:r>
        <w:rPr>
          <w:b/>
        </w:rPr>
        <w:t xml:space="preserve">Adjustments to standard sentences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w:t>
      </w:r>
      <w:r>
        <w:t>((</w:t>
      </w:r>
      <w:r>
        <w:rPr>
          <w:strike/>
        </w:rPr>
        <w:t xml:space="preserve">and</w:t>
      </w:r>
      <w:r>
        <w:t>))</w:t>
      </w:r>
      <w:r>
        <w:rPr/>
        <w:t xml:space="preserve"> shall run consecutively to all other sentencing provisions</w:t>
      </w:r>
      <w:r>
        <w:rPr>
          <w:u w:val="single"/>
        </w:rPr>
        <w:t xml:space="preserve">, and shall be served without any good time credits or earned release time</w:t>
      </w:r>
      <w:r>
        <w:rPr/>
        <w:t xml:space="preserve">.</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 </w:t>
      </w:r>
      <w:r>
        <w:rPr>
          <w:u w:val="single"/>
        </w:rPr>
        <w:t xml:space="preserve">The enhancement under this subsection shall be mandatory, shall be served in total confinement, and shall run consecutively with all other sentencing provisions, and shall be served without any good time credits or earned release time.</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w:t>
      </w:r>
      <w:r>
        <w:t>((</w:t>
      </w:r>
      <w:r>
        <w:rPr>
          <w:strike/>
        </w:rPr>
        <w:t xml:space="preserve">(6)</w:t>
      </w:r>
      <w:r>
        <w:t>))</w:t>
      </w:r>
      <w:r>
        <w:rPr>
          <w:u w:val="single"/>
        </w:rPr>
        <w:t xml:space="preserve">(7)</w:t>
      </w:r>
      <w:r>
        <w:rPr/>
        <w:t xml:space="preserve">) for each child passenger under the age of sixteen who is an occupant in the defendant's vehicle. These enhancements shall be mandatory, shall be served in total confinement, </w:t>
      </w:r>
      <w:r>
        <w:t>((</w:t>
      </w:r>
      <w:r>
        <w:rPr>
          <w:strike/>
        </w:rPr>
        <w:t xml:space="preserve">and</w:t>
      </w:r>
      <w:r>
        <w:t>))</w:t>
      </w:r>
      <w:r>
        <w:rPr/>
        <w:t xml:space="preserve"> shall run consecutively to all other sentencing provisions</w:t>
      </w:r>
      <w:r>
        <w:rPr>
          <w:u w:val="single"/>
        </w:rPr>
        <w:t xml:space="preserve">, and shall be served without any good time credits or earned release time</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240" w:after="0" w:line="408" w:lineRule="exact"/>
        <w:ind w:left="0" w:right="0" w:firstLine="576"/>
        <w:jc w:val="center"/>
      </w:pPr>
      <w:r>
        <w:rPr>
          <w:b/>
        </w:rPr>
        <w:t xml:space="preserve">Vehicular homicide</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520</w:t>
      </w:r>
      <w:r>
        <w:rPr/>
        <w:t xml:space="preserve"> and 1998 c 211 s 2 are each amended to read as follows:</w:t>
      </w:r>
    </w:p>
    <w:p>
      <w:pPr>
        <w:spacing w:before="0" w:after="0" w:line="408" w:lineRule="exact"/>
        <w:ind w:left="0" w:right="0" w:firstLine="576"/>
        <w:jc w:val="left"/>
      </w:pPr>
      <w:r>
        <w:rPr/>
        <w:t xml:space="preserve">(1) When the death of any person ensues within three years as a proximate result of injury proximately caused by the driving of any vehicle by any person, the driver is guilty of vehicular homicide if the driver was operating a motor vehicle:</w:t>
      </w:r>
    </w:p>
    <w:p>
      <w:pPr>
        <w:spacing w:before="0" w:after="0" w:line="408" w:lineRule="exact"/>
        <w:ind w:left="0" w:right="0" w:firstLine="576"/>
        <w:jc w:val="left"/>
      </w:pPr>
      <w:r>
        <w:rPr/>
        <w:t xml:space="preserve">(a) While under the influence of intoxicating liquor or any drug, as defined by RCW 46.61.502; or</w:t>
      </w:r>
    </w:p>
    <w:p>
      <w:pPr>
        <w:spacing w:before="0" w:after="0" w:line="408" w:lineRule="exact"/>
        <w:ind w:left="0" w:right="0" w:firstLine="576"/>
        <w:jc w:val="left"/>
      </w:pPr>
      <w:r>
        <w:rPr/>
        <w:t xml:space="preserve">(b) In a reckless manner; or</w:t>
      </w:r>
    </w:p>
    <w:p>
      <w:pPr>
        <w:spacing w:before="0" w:after="0" w:line="408" w:lineRule="exact"/>
        <w:ind w:left="0" w:right="0" w:firstLine="576"/>
        <w:jc w:val="left"/>
      </w:pPr>
      <w:r>
        <w:rPr/>
        <w:t xml:space="preserve">(c) With disregard for the safety of others.</w:t>
      </w:r>
    </w:p>
    <w:p>
      <w:pPr>
        <w:spacing w:before="0" w:after="0" w:line="408" w:lineRule="exact"/>
        <w:ind w:left="0" w:right="0" w:firstLine="576"/>
        <w:jc w:val="left"/>
      </w:pPr>
      <w:r>
        <w:rPr/>
        <w:t xml:space="preserve">(2) Vehicular homicide is a class A felony punishable under chapter 9A.20 RCW, except that, for a conviction under subsection (1)(a) of this section, an additional two years shall be added to the sentence for each prior offense as defined in RCW 46.61.5055. </w:t>
      </w:r>
      <w:r>
        <w:rPr>
          <w:u w:val="single"/>
        </w:rPr>
        <w:t xml:space="preserve">Pursuant to RCW 9.94A.533(7), the enhancement shall be mandatory, shall be served in total confinement, shall run consecutively to all other sentencing provisions and shall be served without any good time credits or earned release time.</w:t>
      </w:r>
    </w:p>
    <w:p>
      <w:pPr>
        <w:spacing w:before="240" w:after="0" w:line="408" w:lineRule="exact"/>
        <w:ind w:left="0" w:right="0" w:firstLine="576"/>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240" w:after="0" w:line="408" w:lineRule="exact"/>
        <w:ind w:left="0" w:right="0" w:firstLine="576"/>
        <w:jc w:val="center"/>
      </w:pPr>
      <w:r>
        <w:rPr>
          <w:b/>
        </w:rPr>
        <w:t xml:space="preserve">Right to control disposition of remains</w:t>
      </w:r>
      <w:r>
        <w:rPr>
          <w:rFonts w:ascii="Times New Roman" w:hAnsi="Times New Roman"/>
          <w:b/>
        </w:rPr>
        <w:t xml:space="preserve">—</w:t>
      </w:r>
      <w:r>
        <w:rPr>
          <w:b/>
        </w:rPr>
        <w:t xml:space="preserve">Liability of funeral establishment or cemetery authority</w:t>
      </w:r>
      <w:r>
        <w:rPr>
          <w:rFonts w:ascii="Times New Roman" w:hAnsi="Times New Roman"/>
          <w:b/>
        </w:rPr>
        <w:t xml:space="preserve">—</w:t>
      </w:r>
      <w:r>
        <w:rPr>
          <w:b/>
        </w:rPr>
        <w:t xml:space="preserve">Liability for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shall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w:t>
      </w:r>
      <w:r>
        <w:t>((</w:t>
      </w:r>
      <w:r>
        <w:rPr>
          <w:strike/>
        </w:rPr>
        <w:t xml:space="preserve">or</w:t>
      </w:r>
      <w:r>
        <w:t>))</w:t>
      </w:r>
      <w:r>
        <w:rPr>
          <w:u w:val="single"/>
        </w:rPr>
        <w:t xml:space="preserve">,</w:t>
      </w:r>
      <w:r>
        <w:rPr/>
        <w:t xml:space="preserve"> first degree manslaughter</w:t>
      </w:r>
      <w:r>
        <w:rPr>
          <w:u w:val="single"/>
        </w:rPr>
        <w:t xml:space="preserve">, or vehicular homicide</w:t>
      </w:r>
      <w:r>
        <w:rPr/>
        <w:t xml:space="preserve">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shall have the right to rely on an authority to bury or cremate the human remains, executed by the most responsible party available, and the cemetery authority or funeral establishment may not be held criminally or civilly liable for burying or cremating the human remains. In the event any government agency or charitable organization provides the funds for the disposition of any human remains, the cemetery authority or funeral establishment may not be held criminally or civilly liable for cremating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spacing w:before="0" w:after="0" w:line="408" w:lineRule="exact"/>
        <w:ind w:left="0" w:right="0" w:firstLine="576"/>
        <w:jc w:val="left"/>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u w:val="single"/>
        </w:rPr>
        <w:t xml:space="preserve">(d) All sentences imposed under RCW 46.61.502(6), 46.61.504(6), or 46.61.5055(4) shall be served consecutively with any sentences imposed under RCW 46.20.740 and 46.20.750.</w:t>
      </w:r>
    </w:p>
    <w:p>
      <w:pPr>
        <w:spacing w:before="0" w:after="0" w:line="408" w:lineRule="exact"/>
        <w:ind w:left="0" w:right="0" w:firstLine="576"/>
        <w:jc w:val="left"/>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spacing w:before="0" w:after="0" w:line="408" w:lineRule="exact"/>
        <w:ind w:left="0" w:right="0" w:firstLine="576"/>
        <w:jc w:val="left"/>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
      <w:pPr>
        <w:jc w:val="center"/>
      </w:pPr>
      <w:r>
        <w:rPr>
          <w:b/>
        </w:rPr>
        <w:t>--- END ---</w:t>
      </w:r>
    </w:p>
    <w:sectPr>
      <w:pgNumType w:start="1"/>
      <w:footerReference xmlns:r="http://schemas.openxmlformats.org/officeDocument/2006/relationships" r:id="R804e1efefe124c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5404c9a2d4882" /><Relationship Type="http://schemas.openxmlformats.org/officeDocument/2006/relationships/footer" Target="/word/footer.xml" Id="R804e1efefe124cb3" /></Relationships>
</file>