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61a8391b34f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Muri, Kilduff, Zeiger, Manweller, Pike, Stanford, and Condotta)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governing the competitive bidding process of water-sewer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2009 c 229 s 11 are each amended to read as follows:</w:t>
      </w:r>
    </w:p>
    <w:p>
      <w:pPr>
        <w:spacing w:before="0" w:after="0" w:line="408" w:lineRule="exact"/>
        <w:ind w:left="0" w:right="0" w:firstLine="576"/>
        <w:jc w:val="left"/>
      </w:pPr>
      <w:r>
        <w:rPr/>
        <w:t xml:space="preserve">(1) All work ordered, the estimated cost of which is in excess of ((</w:t>
      </w:r>
      <w:r>
        <w:rPr>
          <w:strike/>
        </w:rPr>
        <w:t xml:space="preserve">twenty</w:t>
      </w:r>
      <w:r>
        <w:rPr/>
        <w:t xml:space="preserve">)) </w:t>
      </w:r>
      <w:r>
        <w:rPr>
          <w:u w:val="single"/>
        </w:rPr>
        <w:t xml:space="preserve">fifty</w:t>
      </w:r>
      <w:r>
        <w:rPr/>
        <w:t xml:space="preserve">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1262cc1c94f444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afaa4ad484ee6" /><Relationship Type="http://schemas.openxmlformats.org/officeDocument/2006/relationships/footer" Target="/word/footer.xml" Id="R1262cc1c94f444e1" /></Relationships>
</file>