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b361ac4bd444e41" /></Relationships>
</file>

<file path=word/document.xml><?xml version="1.0" encoding="utf-8"?>
<w:document xmlns:w="http://schemas.openxmlformats.org/wordprocessingml/2006/main">
  <w:body>
    <w:p>
      <w:r>
        <w:t>H-1949.1</w:t>
      </w:r>
    </w:p>
    <w:p>
      <w:pPr>
        <w:jc w:val="center"/>
      </w:pPr>
      <w:r>
        <w:t>_______________________________________________</w:t>
      </w:r>
    </w:p>
    <w:p/>
    <w:p>
      <w:pPr>
        <w:jc w:val="center"/>
      </w:pPr>
      <w:r>
        <w:rPr>
          <w:b/>
        </w:rPr>
        <w:t>SUBSTITUTE HOUSE BILL 1420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Local Government (originally sponsored by Representatives Wilcox, Springer, Magendanz, G. Hunt, Muri, Kirby, Takko, Kilduff, and Hargrove)</w:t>
      </w:r>
    </w:p>
    <w:p/>
    <w:p>
      <w:r>
        <w:rPr>
          <w:t xml:space="preserve">READ FIRST TIME 02/20/15.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school siting and aiding school districts in reducing overall school construction costs;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legislative task force on school siting is established, with members as provided in this subsection. All member appointments or selections must be made by July 1, 2015.</w:t>
      </w:r>
    </w:p>
    <w:p>
      <w:pPr>
        <w:spacing w:before="0" w:after="0" w:line="408" w:lineRule="exact"/>
        <w:ind w:left="0" w:right="0" w:firstLine="576"/>
        <w:jc w:val="left"/>
      </w:pPr>
      <w:r>
        <w:rPr/>
        <w:t xml:space="preserve">(a) The president of the senate shall appoint two members from each of the two largest caucuses of the senate.</w:t>
      </w:r>
    </w:p>
    <w:p>
      <w:pPr>
        <w:spacing w:before="0" w:after="0" w:line="408" w:lineRule="exact"/>
        <w:ind w:left="0" w:right="0" w:firstLine="576"/>
        <w:jc w:val="left"/>
      </w:pPr>
      <w:r>
        <w:rPr/>
        <w:t xml:space="preserve">(b) The speaker of the house of representatives shall appoint two members from each of the two largest caucuses of the house of representatives.</w:t>
      </w:r>
    </w:p>
    <w:p>
      <w:pPr>
        <w:spacing w:before="0" w:after="0" w:line="408" w:lineRule="exact"/>
        <w:ind w:left="0" w:right="0" w:firstLine="576"/>
        <w:jc w:val="left"/>
      </w:pPr>
      <w:r>
        <w:rPr/>
        <w:t xml:space="preserve">(c) The governor shall appoint one member who represents environmental concerns related to school siting and one member who represents the building industry.</w:t>
      </w:r>
    </w:p>
    <w:p>
      <w:pPr>
        <w:spacing w:before="0" w:after="0" w:line="408" w:lineRule="exact"/>
        <w:ind w:left="0" w:right="0" w:firstLine="576"/>
        <w:jc w:val="left"/>
      </w:pPr>
      <w:r>
        <w:rPr/>
        <w:t xml:space="preserve">(d) The task force must also include:</w:t>
      </w:r>
    </w:p>
    <w:p>
      <w:pPr>
        <w:spacing w:before="0" w:after="0" w:line="408" w:lineRule="exact"/>
        <w:ind w:left="0" w:right="0" w:firstLine="576"/>
        <w:jc w:val="left"/>
      </w:pPr>
      <w:r>
        <w:rPr/>
        <w:t xml:space="preserve">(i) A representative of the association of Washington cities;</w:t>
      </w:r>
    </w:p>
    <w:p>
      <w:pPr>
        <w:spacing w:before="0" w:after="0" w:line="408" w:lineRule="exact"/>
        <w:ind w:left="0" w:right="0" w:firstLine="576"/>
        <w:jc w:val="left"/>
      </w:pPr>
      <w:r>
        <w:rPr/>
        <w:t xml:space="preserve">(ii) A representative of the Washington state association of counties;</w:t>
      </w:r>
    </w:p>
    <w:p>
      <w:pPr>
        <w:spacing w:before="0" w:after="0" w:line="408" w:lineRule="exact"/>
        <w:ind w:left="0" w:right="0" w:firstLine="576"/>
        <w:jc w:val="left"/>
      </w:pPr>
      <w:r>
        <w:rPr/>
        <w:t xml:space="preserve">(iii) A representative of schools located in urban areas selected by the Washington association of school administrators;</w:t>
      </w:r>
    </w:p>
    <w:p>
      <w:pPr>
        <w:spacing w:before="0" w:after="0" w:line="408" w:lineRule="exact"/>
        <w:ind w:left="0" w:right="0" w:firstLine="576"/>
        <w:jc w:val="left"/>
      </w:pPr>
      <w:r>
        <w:rPr/>
        <w:t xml:space="preserve">(iv) A representative of schools located in rural areas selected by the Washington association of school administrators; and</w:t>
      </w:r>
    </w:p>
    <w:p>
      <w:pPr>
        <w:spacing w:before="0" w:after="0" w:line="408" w:lineRule="exact"/>
        <w:ind w:left="0" w:right="0" w:firstLine="576"/>
        <w:jc w:val="left"/>
      </w:pPr>
      <w:r>
        <w:rPr/>
        <w:t xml:space="preserve">(v) A representative of the Washington state association of county and regional planning directors.</w:t>
      </w:r>
    </w:p>
    <w:p>
      <w:pPr>
        <w:spacing w:before="0" w:after="0" w:line="408" w:lineRule="exact"/>
        <w:ind w:left="0" w:right="0" w:firstLine="576"/>
        <w:jc w:val="left"/>
      </w:pPr>
      <w:r>
        <w:rPr/>
        <w:t xml:space="preserve">(2) The task force shall choose its chair from among its legislative membership. The chair shall convene at least three meetings of the task force.</w:t>
      </w:r>
    </w:p>
    <w:p>
      <w:pPr>
        <w:spacing w:before="0" w:after="0" w:line="408" w:lineRule="exact"/>
        <w:ind w:left="0" w:right="0" w:firstLine="576"/>
        <w:jc w:val="left"/>
      </w:pPr>
      <w:r>
        <w:rPr/>
        <w:t xml:space="preserve">(3) The task force shall review the issue of siting schools outside of urban growth areas. In reviewing this issue, the task force must balance the planning goals and requirements set forth in chapter 36.70A RCW with the needs of school districts, particularly those facing capacity issues, in providing appropriate and adequate school facilities.</w:t>
      </w:r>
    </w:p>
    <w:p>
      <w:pPr>
        <w:spacing w:before="0" w:after="0" w:line="408" w:lineRule="exact"/>
        <w:ind w:left="0" w:right="0" w:firstLine="576"/>
        <w:jc w:val="left"/>
      </w:pPr>
      <w:r>
        <w:rPr/>
        <w:t xml:space="preserve">(4) Staff support for the task force must be provided by senate committee services and the house of representatives office of program research.</w:t>
      </w:r>
    </w:p>
    <w:p>
      <w:pPr>
        <w:spacing w:before="0" w:after="0" w:line="408" w:lineRule="exact"/>
        <w:ind w:left="0" w:right="0" w:firstLine="576"/>
        <w:jc w:val="left"/>
      </w:pPr>
      <w:r>
        <w:rPr/>
        <w:t xml:space="preserve">(5) Legislative members of the task force must be reimbursed for travel expenses in accordance with RCW 44.04.120. Nonlegislative members, except those representing an employer or organization, are entitled to be reimbursed for travel expenses in accordance with RCW 43.03.050 and 43.03.060.</w:t>
      </w:r>
    </w:p>
    <w:p>
      <w:pPr>
        <w:spacing w:before="0" w:after="0" w:line="408" w:lineRule="exact"/>
        <w:ind w:left="0" w:right="0" w:firstLine="576"/>
        <w:jc w:val="left"/>
      </w:pPr>
      <w:r>
        <w:rPr/>
        <w:t xml:space="preserve">(6) The expenses of the task force must be paid jointly by the senate and the house of representatives. Task force expenditures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t xml:space="preserve">(7) The task force shall provide a summary of the task force's discussions and any recommendations to the appropriate committees of the legislature by December 1, 2015.</w:t>
      </w:r>
    </w:p>
    <w:p>
      <w:pPr>
        <w:spacing w:before="0" w:after="0" w:line="408" w:lineRule="exact"/>
        <w:ind w:left="0" w:right="0" w:firstLine="576"/>
        <w:jc w:val="left"/>
      </w:pPr>
      <w:r>
        <w:rPr/>
        <w:t xml:space="preserve">(8) This section expires January 1, 2016.</w:t>
      </w:r>
    </w:p>
    <w:p/>
    <w:p>
      <w:pPr>
        <w:jc w:val="center"/>
      </w:pPr>
      <w:r>
        <w:rPr>
          <w:b/>
        </w:rPr>
        <w:t>--- END ---</w:t>
      </w:r>
    </w:p>
    <w:sectPr>
      <w:pgNumType w:start="1"/>
      <w:footerReference xmlns:r="http://schemas.openxmlformats.org/officeDocument/2006/relationships" r:id="R3aa98f93efc949a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1420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fd58cf4a1594c40" /><Relationship Type="http://schemas.openxmlformats.org/officeDocument/2006/relationships/footer" Target="/word/footer.xml" Id="R3aa98f93efc949ae" /></Relationships>
</file>