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85ffdd2784f31" /></Relationships>
</file>

<file path=word/document.xml><?xml version="1.0" encoding="utf-8"?>
<w:document xmlns:w="http://schemas.openxmlformats.org/wordprocessingml/2006/main">
  <w:body>
    <w:p>
      <w:r>
        <w:t>H-0105.1</w:t>
      </w:r>
    </w:p>
    <w:p>
      <w:pPr>
        <w:jc w:val="center"/>
      </w:pPr>
      <w:r>
        <w:t>_______________________________________________</w:t>
      </w:r>
    </w:p>
    <w:p/>
    <w:p>
      <w:pPr>
        <w:jc w:val="center"/>
      </w:pPr>
      <w:r>
        <w:rPr>
          <w:b/>
        </w:rPr>
        <w:t>HOUSE BILL 1456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Vick, Manweller, Harris, Wilson, Magendanz, and McCaslin</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prevailing wage requirements to labor performed at the site of work; and amending RCW 39.04.260 and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260</w:t>
      </w:r>
      <w:r>
        <w:rPr/>
        <w:t xml:space="preserve"> and 1993 c 110 s 1 are each amended to read as follows:</w:t>
      </w:r>
    </w:p>
    <w:p>
      <w:pPr>
        <w:spacing w:before="0" w:after="0" w:line="408" w:lineRule="exact"/>
        <w:ind w:left="0" w:right="0" w:firstLine="576"/>
        <w:jc w:val="left"/>
      </w:pPr>
      <w:r>
        <w:rPr/>
        <w:t xml:space="preserve">Any work, construction, alteration, repair, or improvement, other than ordinary maintenance, that the state or a municipality causes to be performed by a private party through a contract to rent, lease, or purchase at least fifty percent of the project by one or more state agencies or municipalities shall comply with chapter 39.12 RCW. </w:t>
      </w:r>
      <w:r>
        <w:rPr>
          <w:u w:val="single"/>
        </w:rPr>
        <w:t xml:space="preserve">This section only applies to work, construction, alternation, repair, or improvement that is performed directly on the site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w:t>
      </w:r>
      <w:r>
        <w:rPr/>
        <w:t xml:space="preserve"> The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w:t>
      </w:r>
      <w:r>
        <w:rPr>
          <w:u w:val="single"/>
        </w:rPr>
        <w:t xml:space="preserve">This chapter only applies to laborers, workers, or mechanics employed directly on the site of the work.</w:t>
      </w:r>
      <w:r>
        <w:rPr/>
        <w:t xml:space="preserve">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t>((</w:t>
      </w:r>
      <w:r>
        <w:rPr>
          <w:strike/>
        </w:rPr>
        <w:t xml:space="preserve">(1)</w:t>
      </w:r>
      <w:r>
        <w:t>))</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t>((</w:t>
      </w:r>
      <w:r>
        <w:rPr>
          <w:strike/>
        </w:rPr>
        <w:t xml:space="preserve">(2)</w:t>
      </w:r>
      <w:r>
        <w:t>))</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 workers or other persons regularly employed by the state, or any county, municipality, or political subdivision created by its laws.</w:t>
      </w:r>
    </w:p>
    <w:p>
      <w:pPr>
        <w:spacing w:before="0" w:after="0" w:line="408" w:lineRule="exact"/>
        <w:ind w:left="0" w:right="0" w:firstLine="576"/>
        <w:jc w:val="left"/>
      </w:pPr>
      <w:r>
        <w:rPr>
          <w:u w:val="single"/>
        </w:rPr>
        <w:t xml:space="preserve">(3) For purposes of this section, "site of the work" has the same meaning as the phrase "site of the work" as used in the Davis Bacon Act, 40 U.S.C. Sec. 3142, as it existed on the effective date of this section. </w:t>
      </w:r>
    </w:p>
    <w:p/>
    <w:p>
      <w:pPr>
        <w:jc w:val="center"/>
      </w:pPr>
      <w:r>
        <w:rPr>
          <w:b/>
        </w:rPr>
        <w:t>--- END ---</w:t>
      </w:r>
    </w:p>
    <w:sectPr>
      <w:pgNumType w:start="1"/>
      <w:footerReference xmlns:r="http://schemas.openxmlformats.org/officeDocument/2006/relationships" r:id="Re63af50f0a7d49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58a8bbb4f49b6" /><Relationship Type="http://schemas.openxmlformats.org/officeDocument/2006/relationships/footer" Target="/word/footer.xml" Id="Re63af50f0a7d4989" /></Relationships>
</file>