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4f936e48c42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Walsh, Hunter, Johnson, Ormsby, MacEwen, Senn, Magendanz, Farrell, Hayes, Ortiz-Self, Hudgins, Appleton, Fitzgibbon, S. Hunt, Ryu, Jinkins, Bergquist, Goodman,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43.215.020, and 43.215.090; reenacting and amending RCW 43.215.010; adding new sections to chapter 43.215 RCW; creating new sections; repealing 2013 2nd sp.s. c 16 s 2 (uncodified);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award at least fifty percent of the contracted slots for children birth to age three.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DEPARTMENT OF EARLY LEARNING DUTIES.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w:t>
      </w:r>
      <w:r>
        <w:rPr>
          <w:u w:val="single"/>
        </w:rPr>
        <w:t xml:space="preserve">State-funded early learning subsidy rates and market rates of licensed child care homes and centers that serve children ages birth to three;</w:t>
      </w:r>
    </w:p>
    <w:p>
      <w:pPr>
        <w:spacing w:before="0" w:after="0" w:line="408" w:lineRule="exact"/>
        <w:ind w:left="0" w:right="0" w:firstLine="576"/>
        <w:jc w:val="left"/>
      </w:pPr>
      <w:r>
        <w:rPr>
          <w:u w:val="single"/>
        </w:rPr>
        <w:t xml:space="preserve">(iii)</w:t>
      </w:r>
      <w:r>
        <w:rPr/>
        <w:t xml:space="preserve"> Compensation of early learning educators in licensed centers and homes and early learning teachers at state higher education institutions;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State-funded preschool program compensation rates and Washington state head start program compensation rates;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Beginning January 1, 2016, the subcommittee shall provide an annual report of the review findings and recommendations to the department and the appropriate committees of the legislature.</w:t>
      </w:r>
    </w:p>
    <w:p>
      <w:pPr>
        <w:spacing w:before="0" w:after="0" w:line="408" w:lineRule="exact"/>
        <w:ind w:left="0" w:right="0" w:firstLine="576"/>
        <w:jc w:val="left"/>
      </w:pPr>
      <w:r>
        <w:rPr>
          <w:u w:val="single"/>
        </w:rPr>
        <w:t xml:space="preserve">(d)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w:t>
      </w:r>
    </w:p>
    <w:p>
      <w:pPr>
        <w:spacing w:before="0" w:after="0" w:line="408" w:lineRule="exact"/>
        <w:ind w:left="0" w:right="0" w:firstLine="576"/>
        <w:jc w:val="left"/>
      </w:pPr>
      <w:r>
        <w:rPr/>
        <w:t xml:space="preserve">(ii) Chair and ranking minority member of the senate ways and means committee; </w:t>
      </w:r>
    </w:p>
    <w:p>
      <w:pPr>
        <w:spacing w:before="0" w:after="0" w:line="408" w:lineRule="exact"/>
        <w:ind w:left="0" w:right="0" w:firstLine="576"/>
        <w:jc w:val="left"/>
      </w:pPr>
      <w:r>
        <w:rPr/>
        <w:t xml:space="preserve">(iii) Chair and ranking minority member of the house of representatives early learning and human services committee; and </w:t>
      </w:r>
    </w:p>
    <w:p>
      <w:pPr>
        <w:spacing w:before="0" w:after="0" w:line="408" w:lineRule="exact"/>
        <w:ind w:left="0" w:right="0" w:firstLine="576"/>
        <w:jc w:val="left"/>
      </w:pPr>
      <w:r>
        <w:rPr/>
        <w:t xml:space="preserve">(iv) Chair and ranking minority member of the senate early learning and K-12 education committee. </w:t>
      </w:r>
    </w:p>
    <w:p>
      <w:pPr>
        <w:spacing w:before="0" w:after="0" w:line="408" w:lineRule="exact"/>
        <w:ind w:left="0" w:right="0" w:firstLine="576"/>
        <w:jc w:val="left"/>
      </w:pPr>
      <w:r>
        <w:rPr/>
        <w:t xml:space="preserve">(b) The committee shall choose its chair or cochairs from among its legislative membership. The chairs of the house of representatives appropriations committee and the senate ways and means committee shall convene the initial meeting of the committee. </w:t>
      </w:r>
    </w:p>
    <w:p>
      <w:pPr>
        <w:spacing w:before="0" w:after="0" w:line="408" w:lineRule="exact"/>
        <w:ind w:left="0" w:right="0" w:firstLine="576"/>
        <w:jc w:val="left"/>
      </w:pPr>
      <w:r>
        <w:rPr/>
        <w:t xml:space="preserve">(2) Between July 1, 2017, and December 1, 2017,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areas.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 </w:t>
      </w:r>
    </w:p>
    <w:p>
      <w:pPr>
        <w:spacing w:before="0" w:after="0" w:line="408" w:lineRule="exact"/>
        <w:ind w:left="0" w:right="0" w:firstLine="576"/>
        <w:jc w:val="left"/>
      </w:pPr>
      <w:r>
        <w:rPr/>
        <w:t xml:space="preserve">(3) By December 1, 2017,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2017. </w:t>
      </w:r>
    </w:p>
    <w:p>
      <w:pPr>
        <w:spacing w:before="0" w:after="0" w:line="408" w:lineRule="exact"/>
        <w:ind w:left="0" w:right="0" w:firstLine="576"/>
        <w:jc w:val="left"/>
      </w:pPr>
      <w:r>
        <w:rPr/>
        <w:t xml:space="preserve">(8) This section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b68f9b5a8b344e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573ad3f7547da" /><Relationship Type="http://schemas.openxmlformats.org/officeDocument/2006/relationships/footer" Target="/word/footer.xml" Id="Rb68f9b5a8b344e74" /></Relationships>
</file>