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923015daab486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Gregory, Bergquist, S. Hunt, Reykdal, Kilduff, Ortiz-Self, and Pollet; by request of Governor Inslee)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flexibility for the educator retooling conditional scholarship program; and amending RCW 28A.660.045 and 28A.660.050.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1st sp.s. c 3 s 3 are each amended to read as follows:</w:t>
      </w:r>
    </w:p>
    <w:p>
      <w:pPr>
        <w:spacing w:before="0" w:after="0" w:line="408" w:lineRule="exact"/>
        <w:ind w:left="0" w:right="0" w:firstLine="576"/>
        <w:jc w:val="left"/>
      </w:pPr>
      <w:r>
        <w:rPr/>
        <w:t xml:space="preserve">(1) The educator retooling conditional scholarship program is created. 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spacing w:before="0" w:after="0" w:line="408" w:lineRule="exact"/>
        <w:ind w:left="0" w:right="0" w:firstLine="576"/>
        <w:jc w:val="left"/>
      </w:pPr>
      <w:r>
        <w:rPr/>
        <w:t xml:space="preserve">(2) Entry requirements for candidates include:</w:t>
      </w:r>
    </w:p>
    <w:p>
      <w:pPr>
        <w:spacing w:before="0" w:after="0" w:line="408" w:lineRule="exact"/>
        <w:ind w:left="0" w:right="0" w:firstLine="576"/>
        <w:jc w:val="left"/>
      </w:pPr>
      <w:r>
        <w:rPr/>
        <w:t xml:space="preserve">(a) Current K-12 teachers shall pursue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w:t>
      </w:r>
    </w:p>
    <w:p>
      <w:pPr>
        <w:spacing w:before="0" w:after="0" w:line="408" w:lineRule="exact"/>
        <w:ind w:left="0" w:right="0" w:firstLine="576"/>
        <w:jc w:val="left"/>
      </w:pPr>
      <w:r>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1st sp.s. c 3 s 4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w:t>
      </w:r>
      <w:r>
        <w:rPr>
          <w:u w:val="single"/>
        </w:rPr>
        <w:t xml:space="preserve">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
      <w:pPr>
        <w:jc w:val="center"/>
      </w:pPr>
      <w:r>
        <w:rPr>
          <w:b/>
        </w:rPr>
        <w:t>--- END ---</w:t>
      </w:r>
    </w:p>
    <w:sectPr>
      <w:pgNumType w:start="1"/>
      <w:footerReference xmlns:r="http://schemas.openxmlformats.org/officeDocument/2006/relationships" r:id="Reb37d4e5651847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489bdbf8a049f7" /><Relationship Type="http://schemas.openxmlformats.org/officeDocument/2006/relationships/footer" Target="/word/footer.xml" Id="Reb37d4e565184760" /></Relationships>
</file>