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82fded8924d1e" /></Relationships>
</file>

<file path=word/document.xml><?xml version="1.0" encoding="utf-8"?>
<w:document xmlns:w="http://schemas.openxmlformats.org/wordprocessingml/2006/main">
  <w:body>
    <w:p>
      <w:r>
        <w:t>H-1745.1</w:t>
      </w:r>
    </w:p>
    <w:p>
      <w:pPr>
        <w:jc w:val="center"/>
      </w:pPr>
      <w:r>
        <w:t>_______________________________________________</w:t>
      </w:r>
    </w:p>
    <w:p/>
    <w:p>
      <w:pPr>
        <w:jc w:val="center"/>
      </w:pPr>
      <w:r>
        <w:rPr>
          <w:b/>
        </w:rPr>
        <w:t>SUBSTITUTE HOUSE BILL 1571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Peterson, Goodman, Fitzgibbon, McBride, Pollet, Robinson, Stanford, S. Hunt, and Riccelli)</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section to chapter 82.04 RCW;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the existing waste collection, recycling, and disposal system leads the nation in innovation and </w:t>
      </w:r>
      <w:r>
        <w:rPr/>
        <w:t xml:space="preserve">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original equipment,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oil-based and latex architectural paint; or</w:t>
      </w:r>
    </w:p>
    <w:p>
      <w:pPr>
        <w:spacing w:before="0" w:after="0" w:line="408" w:lineRule="exact"/>
        <w:ind w:left="0" w:right="0" w:firstLine="576"/>
        <w:jc w:val="left"/>
      </w:pPr>
      <w:r>
        <w:rPr/>
        <w:t xml:space="preserve">(c) Any generator of dangerous waste as defined in RCW 70.105.010 that brings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2016.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No fee may be charged at the time of delivery to a drop-off or take back center.</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new plan or plan amendment is required to be submitted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product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postconsumer architectural paint and paint containers through permanent collection sites and collection events;</w:t>
      </w:r>
    </w:p>
    <w:p>
      <w:pPr>
        <w:spacing w:before="0" w:after="0" w:line="408" w:lineRule="exact"/>
        <w:ind w:left="0" w:right="0" w:firstLine="576"/>
        <w:jc w:val="left"/>
      </w:pPr>
      <w:r>
        <w:rPr/>
        <w:t xml:space="preserve">(b) The reuse or processing of postconsumer architectural paint at the permanent collection site; and</w:t>
      </w:r>
    </w:p>
    <w:p>
      <w:pPr>
        <w:spacing w:before="0" w:after="0" w:line="408" w:lineRule="exact"/>
        <w:ind w:left="0" w:right="0" w:firstLine="576"/>
        <w:jc w:val="left"/>
      </w:pPr>
      <w:r>
        <w:rPr/>
        <w:t xml:space="preserve">(c) The collection, transportation, and recycling or proper disposal of postconsumer architectural paint, including curbside services.</w:t>
      </w:r>
    </w:p>
    <w:p>
      <w:pPr>
        <w:spacing w:before="0" w:after="0" w:line="408" w:lineRule="exact"/>
        <w:ind w:left="0" w:right="0" w:firstLine="576"/>
        <w:jc w:val="left"/>
      </w:pPr>
      <w:r>
        <w:rPr/>
        <w:t xml:space="preserve">(3)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2016,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2016,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stewardship organization by June 30, 2016,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A civil penalty may be administratively imposed by the department on any person who violates this chapter in an amount of up to one thousand dollars per violation per day.</w:t>
      </w:r>
    </w:p>
    <w:p>
      <w:pPr>
        <w:spacing w:before="0" w:after="0" w:line="408" w:lineRule="exact"/>
        <w:ind w:left="0" w:right="0" w:firstLine="576"/>
        <w:jc w:val="left"/>
      </w:pPr>
      <w:r>
        <w:rPr/>
        <w:t xml:space="preserve">(b) A person who intentionally, knowingly, or negligently violates this chapter may be assessed a civil penalty by the department of up to ten thousand dollars per violation per day.</w:t>
      </w:r>
    </w:p>
    <w:p>
      <w:pPr>
        <w:spacing w:before="0" w:after="0" w:line="408" w:lineRule="exact"/>
        <w:ind w:left="0" w:right="0" w:firstLine="576"/>
        <w:jc w:val="left"/>
      </w:pPr>
      <w:r>
        <w:rPr/>
        <w:t xml:space="preserve">(c) Any person who incurs a penalty may appeal the penalty prescribed under this section to the pollution control hearings board created under chapter 43.21B RCW.</w:t>
      </w:r>
    </w:p>
    <w:p>
      <w:pPr>
        <w:spacing w:before="0" w:after="0" w:line="408" w:lineRule="exact"/>
        <w:ind w:left="0" w:right="0" w:firstLine="576"/>
        <w:jc w:val="left"/>
      </w:pPr>
      <w:r>
        <w:rPr/>
        <w:t xml:space="preserve">(6) By July 1, 2016,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additional information from the stewardship organization outside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wholesaler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2017,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spacing w:before="0" w:after="0" w:line="408" w:lineRule="exact"/>
        <w:ind w:left="0" w:right="0" w:firstLine="576"/>
        <w:jc w:val="left"/>
      </w:pPr>
      <w:r>
        <w:rPr/>
        <w:t xml:space="preserve">(a) The department has provided notice to the person or persons whose information is subject to possible inspection or copying under chapter 42.56 RCW; and</w:t>
      </w:r>
    </w:p>
    <w:p>
      <w:pPr>
        <w:spacing w:before="0" w:after="0" w:line="408" w:lineRule="exact"/>
        <w:ind w:left="0" w:right="0" w:firstLine="576"/>
        <w:jc w:val="left"/>
      </w:pPr>
      <w:r>
        <w:rPr/>
        <w:t xml:space="preserve">(b) Within ten days of the notice, the person has not obtained a superior court order protecting the records as confidential.</w:t>
      </w:r>
    </w:p>
    <w:p>
      <w:pPr>
        <w:spacing w:before="0" w:after="0" w:line="408" w:lineRule="exact"/>
        <w:ind w:left="0" w:right="0" w:firstLine="576"/>
        <w:jc w:val="left"/>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spacing w:before="0" w:after="0" w:line="408" w:lineRule="exact"/>
        <w:ind w:left="0" w:right="0" w:firstLine="576"/>
        <w:jc w:val="left"/>
      </w:pPr>
      <w:r>
        <w:rPr/>
        <w:t xml:space="preserve">(3) When providing information to the department, a person shall designate which records or portions of records contain valuable commercial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Records filed with the department of ecology under chapter 70.--- RCW (the new chapter created in section 21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21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4f39d41727f4a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bb93956c947c7" /><Relationship Type="http://schemas.openxmlformats.org/officeDocument/2006/relationships/footer" Target="/word/footer.xml" Id="R34f39d41727f4a44" /></Relationships>
</file>