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2a848dc3f4f0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Cody and Tharinger; by request of Department of Social and Health Services)</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consumer's right to assign hours to individual providers and the department of social and health services' authority to adopt rules related to payment of individual providers; amending RCW 74.39A.270; adding a new section to chapter 74.39A RCW;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w:t>
      </w:r>
      <w:r>
        <w:rPr>
          <w:u w:val="single"/>
        </w:rPr>
        <w:t xml:space="preserve">Except as described in subsection (9) of this section, n</w:t>
      </w:r>
      <w:r>
        <w:rPr/>
        <w:t xml:space="preserve">o agency or department of the state may establish policies or rules governing the wages or hours of individual providers. </w:t>
      </w:r>
      <w:r>
        <w:t>((</w:t>
      </w:r>
      <w:r>
        <w:rPr>
          <w:strike/>
        </w:rPr>
        <w:t xml:space="preserve">However,</w:t>
      </w:r>
      <w:r>
        <w:t>))</w:t>
      </w:r>
      <w:r>
        <w:rPr/>
        <w:t xml:space="preserve"> </w:t>
      </w:r>
      <w:r>
        <w:rPr>
          <w:u w:val="single"/>
        </w:rPr>
        <w:t xml:space="preserve">T</w:t>
      </w:r>
      <w:r>
        <w:rPr/>
        <w:t xml:space="preserve">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w:t>
      </w:r>
      <w:r>
        <w:rPr>
          <w:u w:val="single"/>
        </w:rPr>
        <w:t xml:space="preserve">(i) The requirement that the number of hours the department may pay any single individual provider is limited to:</w:t>
      </w:r>
    </w:p>
    <w:p>
      <w:pPr>
        <w:spacing w:before="0" w:after="0" w:line="408" w:lineRule="exact"/>
        <w:ind w:left="0" w:right="0" w:firstLine="576"/>
        <w:jc w:val="left"/>
      </w:pPr>
      <w:r>
        <w:rPr>
          <w:u w:val="single"/>
        </w:rPr>
        <w:t xml:space="preserve">(A) Sixty hours each workweek if the individual provider was working an average number of hours in excess of forty hours for the workweeks during January 2016, except for fiscal years 2016 and 2017, the limit is sixty-five hours each workweek; or</w:t>
      </w:r>
    </w:p>
    <w:p>
      <w:pPr>
        <w:spacing w:before="0" w:after="0" w:line="408" w:lineRule="exact"/>
        <w:ind w:left="0" w:right="0" w:firstLine="576"/>
        <w:jc w:val="left"/>
      </w:pPr>
      <w:r>
        <w:rPr>
          <w:u w:val="single"/>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u w:val="single"/>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u w:val="single"/>
        </w:rPr>
        <w:t xml:space="preserve">(iii) Additional hours may be authorized for required training under RCW 74.39A.074, 74.39A.076, and 74.39A.341.</w:t>
      </w:r>
    </w:p>
    <w:p>
      <w:pPr>
        <w:spacing w:before="0" w:after="0" w:line="408" w:lineRule="exact"/>
        <w:ind w:left="0" w:right="0" w:firstLine="576"/>
        <w:jc w:val="left"/>
      </w:pPr>
      <w:r>
        <w:rPr>
          <w:u w:val="single"/>
        </w:rPr>
        <w:t xml:space="preserve">(iv) An individual provider may appeal to the department for qualification for the hour limitation in (b)(i)(A) of this subsection if the average weekly hours the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u w:val="single"/>
        </w:rPr>
        <w:t xml:space="preserve">(v) No individual provider is subject to the hour limitations in (b)(i)(A) of this subsection until the department has conducted a review of the plan of care for the consumers served by the provider. The department shall review plans of care expeditiously, starting with consumers connected with the most individual provider overtime;</w:t>
      </w:r>
    </w:p>
    <w:p>
      <w:pPr>
        <w:spacing w:before="0" w:after="0" w:line="408" w:lineRule="exact"/>
        <w:ind w:left="0" w:right="0" w:firstLine="576"/>
        <w:jc w:val="left"/>
      </w:pPr>
      <w:r>
        <w:rPr>
          <w:u w:val="single"/>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u w:val="single"/>
        </w:rPr>
        <w:t xml:space="preserve">(d)</w:t>
      </w:r>
      <w:r>
        <w:rPr/>
        <w:t xml:space="preserve">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The consumer's right to assign hours to one or more individual providers </w:t>
      </w:r>
      <w:r>
        <w:t>((</w:t>
      </w:r>
      <w:r>
        <w:rPr>
          <w:strike/>
        </w:rPr>
        <w:t xml:space="preserve">selected by the consumer within the maximum hours determined by</w:t>
      </w:r>
      <w:r>
        <w:t>))</w:t>
      </w:r>
      <w:r>
        <w:rPr/>
        <w:t xml:space="preserve"> </w:t>
      </w:r>
      <w:r>
        <w:rPr>
          <w:u w:val="single"/>
        </w:rPr>
        <w:t xml:space="preserve">consistent with the rules adopted under this chapter and</w:t>
      </w:r>
      <w:r>
        <w:rPr/>
        <w:t xml:space="preserve"> his or her plan of care;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w:t>
      </w:r>
      <w:r>
        <w:t>((</w:t>
      </w:r>
      <w:r>
        <w:rPr>
          <w:strike/>
        </w:rPr>
        <w:t xml:space="preserve">(f)</w:t>
      </w:r>
      <w:r>
        <w:t>))</w:t>
      </w:r>
      <w:r>
        <w:rPr/>
        <w:t xml:space="preserve"> </w:t>
      </w:r>
      <w:r>
        <w:rPr>
          <w:u w:val="single"/>
        </w:rPr>
        <w:t xml:space="preserve">(h)</w:t>
      </w:r>
      <w:r>
        <w:rPr/>
        <w:t xml:space="preserve">.</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u w:val="single"/>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u w:val="single"/>
        </w:rPr>
        <w:t xml:space="preserve">(a) Ensuring that consumers are not at increased risk for institutionalization;</w:t>
      </w:r>
    </w:p>
    <w:p>
      <w:pPr>
        <w:spacing w:before="0" w:after="0" w:line="408" w:lineRule="exact"/>
        <w:ind w:left="0" w:right="0" w:firstLine="576"/>
        <w:jc w:val="left"/>
      </w:pPr>
      <w:r>
        <w:rPr>
          <w:u w:val="single"/>
        </w:rPr>
        <w:t xml:space="preserve">(b) When there is a limited number of providers within the geographic region of the consumer;</w:t>
      </w:r>
    </w:p>
    <w:p>
      <w:pPr>
        <w:spacing w:before="0" w:after="0" w:line="408" w:lineRule="exact"/>
        <w:ind w:left="0" w:right="0" w:firstLine="576"/>
        <w:jc w:val="left"/>
      </w:pPr>
      <w:r>
        <w:rPr>
          <w:u w:val="single"/>
        </w:rPr>
        <w:t xml:space="preserve">(c) When there is a limited number of providers available to support a consumer with complex medical and behavioral needs or specific language needs;</w:t>
      </w:r>
    </w:p>
    <w:p>
      <w:pPr>
        <w:spacing w:before="0" w:after="0" w:line="408" w:lineRule="exact"/>
        <w:ind w:left="0" w:right="0" w:firstLine="576"/>
        <w:jc w:val="left"/>
      </w:pPr>
      <w:r>
        <w:rPr>
          <w:u w:val="single"/>
        </w:rPr>
        <w:t xml:space="preserve">(d) Emergencies that could pose a health and safety risk for consumers; and</w:t>
      </w:r>
    </w:p>
    <w:p>
      <w:pPr>
        <w:spacing w:before="0" w:after="0" w:line="408" w:lineRule="exact"/>
        <w:ind w:left="0" w:right="0" w:firstLine="576"/>
        <w:jc w:val="left"/>
      </w:pPr>
      <w:r>
        <w:rPr>
          <w:u w:val="single"/>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u w:val="single"/>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u w:val="single"/>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u w:val="single"/>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u w:val="single"/>
        </w:rPr>
        <w:t xml:space="preserve">(i) Two members from each of the two largest caucuses of the senate, appointed by the respective caucus leaders.</w:t>
      </w:r>
    </w:p>
    <w:p>
      <w:pPr>
        <w:spacing w:before="0" w:after="0" w:line="408" w:lineRule="exact"/>
        <w:ind w:left="0" w:right="0" w:firstLine="576"/>
        <w:jc w:val="left"/>
      </w:pPr>
      <w:r>
        <w:rPr>
          <w:u w:val="single"/>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u w:val="single"/>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u w:val="single"/>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u w:val="single"/>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u w:val="single"/>
        </w:rPr>
        <w:t xml:space="preserve">(e) The department is authorized to adopt rules, including emergency rules under RCW 34.05.350,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shall immediately adopt emergency rules under RCW 34.05.350 to limit the number of hours per workweek that the department may pay any single provider to forty hours and to establish criteria to authorize additional hours in accordance with section 1 of this act. The emergency rules shall remain in effect until permanent rules can be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In order to monitor quality of care and safety of consumers, employment conditions of individual providers, and compliance with the provisions of payment of hours in excess of forty hours each workweek for any single provider, the department must provide quarterly expenditure reports to the legislative fiscal committees and joint legislative-executive overtime oversight task force created in RCW 74.39A.270(10). The report must contain the following information:</w:t>
      </w:r>
    </w:p>
    <w:p>
      <w:pPr>
        <w:spacing w:before="0" w:after="0" w:line="408" w:lineRule="exact"/>
        <w:ind w:left="0" w:right="0" w:firstLine="576"/>
        <w:jc w:val="left"/>
      </w:pPr>
      <w:r>
        <w:rPr/>
        <w:t xml:space="preserve">(1) The number of providers receiving payment for more than forty hours in a workweek, specifying how many of those providers were eligible for those hours due to meeting the conditions of RCW 74.39A.270 (5)(b)(i)(A), (b)(ii), (b)(iii), and (9).</w:t>
      </w:r>
    </w:p>
    <w:p>
      <w:pPr>
        <w:spacing w:before="0" w:after="0" w:line="408" w:lineRule="exact"/>
        <w:ind w:left="0" w:right="0" w:firstLine="576"/>
        <w:jc w:val="left"/>
      </w:pPr>
      <w:r>
        <w:rPr/>
        <w:t xml:space="preserve">(2) The number of hours paid and the amount paid for hours in excess of forty hours in a workweek, specifying how many of those hours and payments were for providers eligible for those hours and payments due to meeting the conditions of RCW 74.39A.270 (5)(b)(i)(A), (b)(ii), (b)(iii), and (9).</w:t>
      </w:r>
    </w:p>
    <w:p>
      <w:pPr>
        <w:spacing w:before="0" w:after="0" w:line="408" w:lineRule="exact"/>
        <w:ind w:left="0" w:right="0" w:firstLine="576"/>
        <w:jc w:val="left"/>
      </w:pPr>
      <w:r>
        <w:rPr/>
        <w:t xml:space="preserve">(3) In reporting the information required in subsections (1) and (2) of this section, the department must provide total amounts, averages, and a display of the distribution of the amounts.</w:t>
      </w:r>
    </w:p>
    <w:p>
      <w:pPr>
        <w:spacing w:before="0" w:after="0" w:line="408" w:lineRule="exact"/>
        <w:ind w:left="0" w:right="0" w:firstLine="576"/>
        <w:jc w:val="left"/>
      </w:pPr>
      <w:r>
        <w:rPr/>
        <w:t xml:space="preserve">(4) The information required must be provided by department region and county of client, department program, and must be specified for providers by the number of clients they serve.</w:t>
      </w:r>
    </w:p>
    <w:p>
      <w:pPr>
        <w:spacing w:before="0" w:after="0" w:line="408" w:lineRule="exact"/>
        <w:ind w:left="0" w:right="0" w:firstLine="576"/>
        <w:jc w:val="left"/>
      </w:pPr>
      <w:r>
        <w:rPr/>
        <w:t xml:space="preserve">(5) Any personally identifiable information of consumers and individual providers used to develop this report is confidential and exempt from public disclosure, inspection, or copying under chapter 42.56RCW. However, information may be released in aggregate form, with any personally identifiable information redacted, for the purpose of statistical analysis and oversight of agency performance and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7dca299402043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f88bdae98410a" /><Relationship Type="http://schemas.openxmlformats.org/officeDocument/2006/relationships/footer" Target="/word/footer.xml" Id="R87dca29940204318" /></Relationships>
</file>