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53d411747b47e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Magendanz, Pollet, Lytton, Muri, and Goodman; by request of Professional Educator Standards Board</w:t>
      </w:r>
    </w:p>
    <w:p/>
    <w:p>
      <w:r>
        <w:rPr>
          <w:t xml:space="preserve">Read first time 01/28/15.  </w:t>
        </w:rPr>
      </w:r>
      <w:r>
        <w:rPr>
          <w:t xml:space="preserve">Referred to Committee on Education.</w:t>
        </w:rPr>
      </w:r>
    </w:p>
    <w:p>
      <w:r>
        <w:br/>
      </w:r>
    </w:p>
    <w:p>
      <w:r>
        <w:fldChar w:fldCharType="begin"/>
      </w:r>
      <w:r>
        <w:instrText xml:space="default"> ADVANCE \y328 </w:instrText>
      </w:r>
      <w:r>
        <w:fldChar w:fldCharType="end"/>
      </w:r>
    </w:p>
    <w:p>
      <w:pPr>
        <w:ind w:left="0" w:right="0" w:firstLine="360"/>
        <w:jc w:val="both"/>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ind w:left="0" w:right="0" w:firstLine="360"/>
        <w:jc w:val="both"/>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eligibility for scholarships in addition to program design.</w:t>
      </w:r>
    </w:p>
    <w:p>
      <w:pPr>
        <w:ind w:left="0" w:right="0" w:firstLine="360"/>
        <w:jc w:val="both"/>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ind w:left="0" w:right="0" w:firstLine="360"/>
        <w:jc w:val="both"/>
      </w:pPr>
      <w:r>
        <w:rPr>
          <w:strike/>
        </w:rPr>
        <w:t xml:space="preserve">(a) The route or routes the partnership program intends to offer and a detailed description of how the routes will be structured and operated by the partnership;</w:t>
      </w:r>
    </w:p>
    <w:p>
      <w:pPr>
        <w:ind w:left="0" w:right="0" w:firstLine="360"/>
        <w:jc w:val="both"/>
      </w:pPr>
      <w:r>
        <w:rPr>
          <w:strike/>
        </w:rPr>
        <w:t xml:space="preserve">(b) The estimated number of candidates that will be enrolled per route;</w:t>
      </w:r>
    </w:p>
    <w:p>
      <w:pPr>
        <w:ind w:left="0" w:right="0" w:firstLine="360"/>
        <w:jc w:val="both"/>
      </w:pPr>
      <w:r>
        <w:rPr>
          <w:strike/>
        </w:rPr>
        <w:t xml:space="preserve">(c) An identification, indication of commitment, and description of the role of approved teacher preparation programs and partnering district or consortia of districts;</w:t>
      </w:r>
    </w:p>
    <w:p>
      <w:pPr>
        <w:ind w:left="0" w:right="0" w:firstLine="360"/>
        <w:jc w:val="both"/>
      </w:pPr>
      <w:r>
        <w:rPr>
          <w:strike/>
        </w:rPr>
        <w:t xml:space="preserve">(d) An assurance that the district or approved preparation program provider will provide adequate training for mentor teachers specific to the mentoring of alternative route candidates;</w:t>
      </w:r>
    </w:p>
    <w:p>
      <w:pPr>
        <w:ind w:left="0" w:right="0" w:firstLine="360"/>
        <w:jc w:val="both"/>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ind w:left="0" w:right="0" w:firstLine="360"/>
        <w:jc w:val="both"/>
      </w:pPr>
      <w:r>
        <w:rPr>
          <w:strike/>
        </w:rPr>
        <w:t xml:space="preserve">(f) A description of the rigorous screening process for applicants to alternative route programs, including entry requirements specific to each route, as provided in RCW 28A.660.040; </w:t>
      </w:r>
    </w:p>
    <w:p>
      <w:pPr>
        <w:ind w:left="0" w:right="0" w:firstLine="360"/>
        <w:jc w:val="both"/>
      </w:pPr>
      <w:r>
        <w:rPr>
          <w:strike/>
        </w:rPr>
        <w:t xml:space="preserve">(g) A summary of procedures that provide flexible completion opportunities for candidates to achieve a residency certificate; and</w:t>
      </w:r>
    </w:p>
    <w:p>
      <w:pPr>
        <w:ind w:left="0" w:right="0" w:firstLine="360"/>
        <w:jc w:val="both"/>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ind w:left="0" w:right="0" w:firstLine="360"/>
        <w:jc w:val="both"/>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ind w:left="0" w:right="0" w:firstLine="360"/>
        <w:jc w:val="both"/>
      </w:pPr>
      <w:r>
        <w:rPr>
          <w:strike/>
        </w:rPr>
        <w:t xml:space="preserve">(ii) Identification of performance indicators based on the knowledge and skills standards required for residency certification by the Washington professional educator standards board;</w:t>
      </w:r>
    </w:p>
    <w:p>
      <w:pPr>
        <w:ind w:left="0" w:right="0" w:firstLine="360"/>
        <w:jc w:val="both"/>
      </w:pPr>
      <w:r>
        <w:rPr>
          <w:strike/>
        </w:rPr>
        <w:t xml:space="preserve">(iii) Identification of benchmarks that will indicate when the standard is met for all performance indicators;</w:t>
      </w:r>
    </w:p>
    <w:p>
      <w:pPr>
        <w:ind w:left="0" w:right="0" w:firstLine="360"/>
        <w:jc w:val="both"/>
      </w:pPr>
      <w:r>
        <w:rPr>
          <w:strike/>
        </w:rPr>
        <w:t xml:space="preserve">(iv) A description of strategies for assessing candidate performance on the benchmarks;</w:t>
      </w:r>
    </w:p>
    <w:p>
      <w:pPr>
        <w:ind w:left="0" w:right="0" w:firstLine="360"/>
        <w:jc w:val="both"/>
      </w:pPr>
      <w:r>
        <w:rPr>
          <w:strike/>
        </w:rPr>
        <w:t xml:space="preserve">(v) Identification of one or more tools to be used to assess a candidate's performance once the candidate has been in the classroom for about one-half of a school year;</w:t>
      </w:r>
    </w:p>
    <w:p>
      <w:pPr>
        <w:ind w:left="0" w:right="0" w:firstLine="360"/>
        <w:jc w:val="both"/>
      </w:pPr>
      <w:r>
        <w:rPr>
          <w:strike/>
        </w:rPr>
        <w:t xml:space="preserve">(vi) A description of the criteria that would result in residency certification after about one-half of a school year but before the end of the program; and</w:t>
      </w:r>
    </w:p>
    <w:p>
      <w:pPr>
        <w:ind w:left="0" w:right="0" w:firstLine="360"/>
        <w:jc w:val="both"/>
      </w:pPr>
      <w:r>
        <w:rPr>
          <w:strike/>
        </w:rPr>
        <w:t xml:space="preserve">(vii) A description of how the district intends for the alternative route program to support its workforce development plan and how the presence of alternative route interns will advance its school improvement plans.</w:t>
      </w:r>
    </w:p>
    <w:p>
      <w:pPr>
        <w:ind w:left="0" w:right="0" w:firstLine="360"/>
        <w:jc w:val="both"/>
      </w:pPr>
      <w:r>
        <w:rPr>
          <w:strike/>
        </w:rPr>
        <w:t xml:space="preserve">(3)</w:t>
      </w:r>
      <w:r>
        <w:t>))</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ind w:left="0" w:right="0" w:firstLine="360"/>
        <w:jc w:val="both"/>
      </w:pPr>
      <w:r>
        <w:rPr>
          <w:u w:val="single"/>
        </w:rPr>
        <w:t xml:space="preserve">(a) Uphold criteria for alternative route program design that is innovative and reflects evidence-based practice;</w:t>
      </w:r>
    </w:p>
    <w:p>
      <w:pPr>
        <w:ind w:left="0" w:right="0" w:firstLine="360"/>
        <w:jc w:val="both"/>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ind w:left="0" w:right="0" w:firstLine="360"/>
        <w:jc w:val="both"/>
      </w:pPr>
      <w:r>
        <w:rPr>
          <w:u w:val="single"/>
        </w:rPr>
        <w:t xml:space="preserve">(c) Amend or adopt rules issuing preservice residents certification necessary to serve as substitute teachers in classrooms within the residency school for up to ten days per school year;</w:t>
      </w:r>
    </w:p>
    <w:p>
      <w:pPr>
        <w:ind w:left="0" w:right="0" w:firstLine="360"/>
        <w:jc w:val="both"/>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ind w:left="0" w:right="0" w:firstLine="360"/>
        <w:jc w:val="both"/>
      </w:pPr>
      <w:r>
        <w:rPr>
          <w:u w:val="single"/>
        </w:rPr>
        <w:t xml:space="preserve">(e) Expand access and opportunity for individuals to become teachers statewide; and</w:t>
      </w:r>
    </w:p>
    <w:p>
      <w:pPr>
        <w:ind w:left="0" w:right="0" w:firstLine="360"/>
        <w:jc w:val="both"/>
      </w:pPr>
      <w:r>
        <w:rPr>
          <w:u w:val="single"/>
        </w:rPr>
        <w:t xml:space="preserve">(f) Give preference in admissions to applicants for alternative route programs who are eligible veterans or national guard members and who meet the entry requirements for the alternative route program.</w:t>
      </w:r>
    </w:p>
    <w:p>
      <w:pPr>
        <w:ind w:left="0" w:right="0" w:firstLine="360"/>
        <w:jc w:val="both"/>
      </w:pPr>
      <w:r>
        <w:rPr>
          <w:u w:val="single"/>
        </w:rPr>
        <w:t xml:space="preserve">(3) Beginning December 1, 2016,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ind w:left="0" w:right="0" w:firstLine="360"/>
        <w:jc w:val="both"/>
      </w:pPr>
      <w:r>
        <w:rPr>
          <w:u w:val="single"/>
        </w:rPr>
        <w:t xml:space="preserve">(a) The number and percentage of alternative route completers hired;</w:t>
      </w:r>
    </w:p>
    <w:p>
      <w:pPr>
        <w:ind w:left="0" w:right="0" w:firstLine="360"/>
        <w:jc w:val="both"/>
      </w:pPr>
      <w:r>
        <w:rPr>
          <w:u w:val="single"/>
        </w:rPr>
        <w:t xml:space="preserve">(b) The percentage of alternative route completers from underrepresented populations;</w:t>
      </w:r>
    </w:p>
    <w:p>
      <w:pPr>
        <w:ind w:left="0" w:right="0" w:firstLine="360"/>
        <w:jc w:val="both"/>
      </w:pPr>
      <w:r>
        <w:rPr>
          <w:u w:val="single"/>
        </w:rPr>
        <w:t xml:space="preserve">(c) Three-year and five-year retention rates of alternative route completers;</w:t>
      </w:r>
    </w:p>
    <w:p>
      <w:pPr>
        <w:ind w:left="0" w:right="0" w:firstLine="360"/>
        <w:jc w:val="both"/>
      </w:pPr>
      <w:r>
        <w:rPr>
          <w:u w:val="single"/>
        </w:rPr>
        <w:t xml:space="preserve">(d) The average hiring dates of alternative route completers; and</w:t>
      </w:r>
    </w:p>
    <w:p>
      <w:pPr>
        <w:ind w:left="0" w:right="0" w:firstLine="360"/>
        <w:jc w:val="both"/>
      </w:pPr>
      <w:r>
        <w:rPr>
          <w:u w:val="single"/>
        </w:rPr>
        <w:t xml:space="preserve">(e) The percentage of alternative route completers hired in districts where their alternative route program was completed.</w:t>
      </w:r>
    </w:p>
    <w:p>
      <w:pPr>
        <w:ind w:left="0" w:right="0" w:firstLine="360"/>
        <w:jc w:val="both"/>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ind w:left="0" w:right="0" w:firstLine="360"/>
        <w:jc w:val="both"/>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NumType w:start="1"/>
      <w:footerReference xmlns:r="http://schemas.openxmlformats.org/officeDocument/2006/relationships" r:id="Re0e91cad6b4648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400bfa7c04503" /><Relationship Type="http://schemas.openxmlformats.org/officeDocument/2006/relationships/footer" Target="/word/footer.xml" Id="Re0e91cad6b4648a4" /></Relationships>
</file>