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cd2228b4d343c4" /></Relationships>
</file>

<file path=word/document.xml><?xml version="1.0" encoding="utf-8"?>
<w:document xmlns:w="http://schemas.openxmlformats.org/wordprocessingml/2006/main">
  <w:body>
    <w:p>
      <w:r>
        <w:t>H-1950.1</w:t>
      </w:r>
    </w:p>
    <w:p>
      <w:pPr>
        <w:jc w:val="center"/>
      </w:pPr>
      <w:r>
        <w:t>_______________________________________________</w:t>
      </w:r>
    </w:p>
    <w:p/>
    <w:p>
      <w:pPr>
        <w:jc w:val="center"/>
      </w:pPr>
      <w:r>
        <w:rPr>
          <w:b/>
        </w:rPr>
        <w:t>SUBSTITUTE HOUSE BILL 1845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DeBolt, Fitzgibbon, Orcutt, Short, Smith, and Jinkins)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waste;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spacing w:before="0" w:after="0" w:line="408" w:lineRule="exact"/>
        <w:ind w:left="0" w:right="0" w:firstLine="576"/>
        <w:jc w:val="left"/>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spacing w:before="0" w:after="0" w:line="408" w:lineRule="exact"/>
        <w:ind w:left="0" w:right="0" w:firstLine="576"/>
        <w:jc w:val="left"/>
      </w:pPr>
      <w:r>
        <w:rPr/>
        <w:t xml:space="preserve">(3) It is the intent of the legislature that the department of ecology implement consistent regulatory oversight of pharmaceutical waste management facilities in the state in order to support a level playing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and recommendations for amendments to chapter 70.105 RCW or rules adopted pursuant to chapter 70.105 RCW. The work group must provide recommendations to the appropriate fiscal and policy committees of the legislature by December 31, 2015.</w:t>
      </w:r>
    </w:p>
    <w:p>
      <w:pPr>
        <w:spacing w:before="0" w:after="0" w:line="408" w:lineRule="exact"/>
        <w:ind w:left="0" w:right="0" w:firstLine="576"/>
        <w:jc w:val="left"/>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spacing w:before="0" w:after="0" w:line="408" w:lineRule="exact"/>
        <w:ind w:left="0" w:right="0" w:firstLine="576"/>
        <w:jc w:val="left"/>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spacing w:before="0" w:after="0" w:line="408" w:lineRule="exact"/>
        <w:ind w:left="0" w:right="0" w:firstLine="576"/>
        <w:jc w:val="left"/>
      </w:pPr>
      <w:r>
        <w:rPr/>
        <w:t xml:space="preserve">(4)(a) Because pharmaceutical waste handling facilities accept waste from sources statewide, the regulation of qualified pharmaceutical waste handling facilities by the department must be overseen in a consistent manner statewide by a designee of the headquarters office of the department.</w:t>
      </w:r>
    </w:p>
    <w:p>
      <w:pPr>
        <w:spacing w:before="0" w:after="0" w:line="408" w:lineRule="exact"/>
        <w:ind w:left="0" w:right="0" w:firstLine="576"/>
        <w:jc w:val="left"/>
      </w:pPr>
      <w:r>
        <w:rPr/>
        <w:t xml:space="preserve">(b) The legislature encourages the department to exercise its enforcement discretion with regard to pharmaceutical waste during the pendency of the work group process described in subsection (1) of this section. The conditional exclusion set forth in WAC 173-303-071(3)(nn), as of the effective date of this section, shall apply to any waste received by a qualified pharmaceutical waste handling facility from a pharmaceutical waste generator.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NumType w:start="1"/>
      <w:footerReference xmlns:r="http://schemas.openxmlformats.org/officeDocument/2006/relationships" r:id="R853363afb2b64f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9db6812424192" /><Relationship Type="http://schemas.openxmlformats.org/officeDocument/2006/relationships/footer" Target="/word/footer.xml" Id="R853363afb2b64f9d" /></Relationships>
</file>