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c44a0644240aa" /></Relationships>
</file>

<file path=word/document.xml><?xml version="1.0" encoding="utf-8"?>
<w:document xmlns:w="http://schemas.openxmlformats.org/wordprocessingml/2006/main">
  <w:body>
    <w:p>
      <w:r>
        <w:t>H-1280.1</w:t>
      </w:r>
    </w:p>
    <w:p>
      <w:pPr>
        <w:jc w:val="center"/>
      </w:pPr>
      <w:r>
        <w:t>_______________________________________________</w:t>
      </w:r>
    </w:p>
    <w:p/>
    <w:p>
      <w:pPr>
        <w:jc w:val="center"/>
      </w:pPr>
      <w:r>
        <w:rPr>
          <w:b/>
        </w:rPr>
        <w:t>HOUSE BILL 1853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Bergquist, Morris, Muri, Tarleton, Fitzgibbon, and Tharinger</w:t>
      </w:r>
    </w:p>
    <w:p/>
    <w:p>
      <w:r>
        <w:rPr>
          <w:t xml:space="preserve">Read first time 01/30/15.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leadership in electric vehicle charging infrastructure build-out;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spacing w:before="0" w:after="0" w:line="408" w:lineRule="exact"/>
        <w:ind w:left="0" w:right="0" w:firstLine="576"/>
        <w:jc w:val="left"/>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spacing w:before="0" w:after="0" w:line="408" w:lineRule="exact"/>
        <w:ind w:left="0" w:right="0" w:firstLine="576"/>
        <w:jc w:val="left"/>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establishing rates for each gas and electric company regulated by this chapter, the commission must adopt policies to encourage electric vehicle charging infrastructure build-out. These policies must include but are not limited to allowing a return on investment on capital expenditures for electric vehicle infrastructure that is deployed for the benefit of ratepayers.</w:t>
      </w:r>
    </w:p>
    <w:p>
      <w:pPr>
        <w:spacing w:before="0" w:after="0" w:line="408" w:lineRule="exact"/>
        <w:ind w:left="0" w:right="0" w:firstLine="576"/>
        <w:jc w:val="left"/>
      </w:pPr>
      <w:r>
        <w:rPr/>
        <w:t xml:space="preserve">(2) A return on investment under this section may be allowed only if the company chooses to pursue capital investment in electric vehicle infrastructure on a fully regulated basis similar to other capital investments in generation, transmission, and distribution assets. In the case of a return on investment allowed under this section, an increment of two percent must be added to the rate of return on common equity allowed on the company's other investments.</w:t>
      </w:r>
    </w:p>
    <w:p>
      <w:pPr>
        <w:spacing w:before="0" w:after="0" w:line="408" w:lineRule="exact"/>
        <w:ind w:left="0" w:right="0" w:firstLine="576"/>
        <w:jc w:val="left"/>
      </w:pPr>
      <w:r>
        <w:rPr/>
        <w:t xml:space="preserve">(3) Measures or projects encouraged under this section are limited to those for which construction or installation begins after July 1, 2015, and which are reasonably expected, at the time they are placed in the rate base, to result in real and tangible electric vehicle infrastructure being installed and located where customers are most likely to park their vehicles for intervals longer than two hours.</w:t>
      </w:r>
    </w:p>
    <w:p>
      <w:pPr>
        <w:spacing w:before="0" w:after="0" w:line="408" w:lineRule="exact"/>
        <w:ind w:left="0" w:right="0" w:firstLine="576"/>
        <w:jc w:val="left"/>
      </w:pPr>
      <w:r>
        <w:rPr/>
        <w:t xml:space="preserve">(4) The rate of return increment pursuant to this section may be earned only for a period up to the depreciable life of the asset as defined in the depreciation schedules developed by the company and submitted to the commission for review.</w:t>
      </w:r>
    </w:p>
    <w:p/>
    <w:p>
      <w:pPr>
        <w:jc w:val="center"/>
      </w:pPr>
      <w:r>
        <w:rPr>
          <w:b/>
        </w:rPr>
        <w:t>--- END ---</w:t>
      </w:r>
    </w:p>
    <w:sectPr>
      <w:pgNumType w:start="1"/>
      <w:footerReference xmlns:r="http://schemas.openxmlformats.org/officeDocument/2006/relationships" r:id="R47ec7cc3942447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78f13419d4532" /><Relationship Type="http://schemas.openxmlformats.org/officeDocument/2006/relationships/footer" Target="/word/footer.xml" Id="R47ec7cc3942447a4" /></Relationships>
</file>