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22a057ec84b88" /></Relationships>
</file>

<file path=word/document.xml><?xml version="1.0" encoding="utf-8"?>
<w:document xmlns:w="http://schemas.openxmlformats.org/wordprocessingml/2006/main">
  <w:body>
    <w:p>
      <w:r>
        <w:t>H-2771.6</w:t>
      </w:r>
    </w:p>
    <w:p>
      <w:pPr>
        <w:jc w:val="center"/>
      </w:pPr>
      <w:r>
        <w:t>_______________________________________________</w:t>
      </w:r>
    </w:p>
    <w:p/>
    <w:p>
      <w:pPr>
        <w:jc w:val="center"/>
      </w:pPr>
      <w:r>
        <w:rPr>
          <w:b/>
        </w:rPr>
        <w:t>SUBSTITUTE HOUSE BILL 1912</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Technology &amp; Economic Development (originally sponsored by Representatives Morris and Tarleton)</w:t>
      </w:r>
    </w:p>
    <w:p/>
    <w:p>
      <w:r>
        <w:rPr>
          <w:t xml:space="preserve">READ FIRST TIME 06/18/15.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distributed generation; amending RCW 82.16.120, 82.16.130, 19.86.170, 82.08.962, 82.08.963, 82.12.962, and 82.12.963; adding new sections to chapter 82.16 RCW; adding a new section to chapter 70.95N RCW; adding new sections to chapter 80.28 RCW; adding a new chapter to Title 19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distributed generation, including renewable energy systems interconnected to the grid on utility customers' premises, is an important part of a state energy strategy to increase energy independence, promote economic development, and attain environmental benefits in the form of reduced air pollutant emissions. It is desirable to conduct a systematic evaluation of existing and emerging policies that promote cost-effective integration of distributed energy resources.</w:t>
      </w:r>
    </w:p>
    <w:p>
      <w:pPr>
        <w:spacing w:before="0" w:after="0" w:line="408" w:lineRule="exact"/>
        <w:ind w:left="0" w:right="0" w:firstLine="576"/>
        <w:jc w:val="left"/>
      </w:pPr>
      <w:r>
        <w:rPr/>
        <w:t xml:space="preserve">(2) The legislature recognizes that the smart grid of the future is likely to contain billions of intelligent devices, and the architecture to control or coordinate the operation of these devices at the distribution level of the grid in a reliable way is not yet certain. While our utilities have a good understanding of how their electric distribution system works today against extreme cold weather events in deterministic plans, little dynamic planning is conducted to shed light on what customers will be purchasing and at what rate new technologies such as electric vehicles, smart home energy management packages, and distributed generation may be adopted. Neighboring states like Hawaii have been put into a reactive planning and engineering mode by not understanding the relationship between the timeline of customer adoption of these technologies and how they will impact their electric distribution systems. Knowing this information is the keystone to keeping rates low through proactive dynamic smart planning for the smart grid that utilizes symbiotic opportunities like those between electric vehicles and distributed generation, and utilizing individual customers investments and choices in a harmonized way that defer more costly capital investments.</w:t>
      </w:r>
    </w:p>
    <w:p>
      <w:pPr>
        <w:spacing w:before="0" w:after="0" w:line="408" w:lineRule="exact"/>
        <w:ind w:left="0" w:right="0" w:firstLine="576"/>
        <w:jc w:val="left"/>
      </w:pPr>
      <w:r>
        <w:rPr/>
        <w:t xml:space="preserve">(3) The legislature seeks to contract with a third-party consultant, through a competitive procurement process, to obtain recommendations about policies, pilot projects, and tools that can increase situational viewability of distributed resources and cost-effectively integrate distributed resources into the distribution grid.</w:t>
      </w:r>
    </w:p>
    <w:p>
      <w:pPr>
        <w:spacing w:before="0" w:after="0" w:line="408" w:lineRule="exact"/>
        <w:ind w:left="0" w:right="0" w:firstLine="576"/>
        <w:jc w:val="left"/>
      </w:pPr>
      <w:r>
        <w:rPr/>
        <w:t xml:space="preserve">(4) It is the legislature's intent to extend incentives for renewable energy systems while obtaining recommendations from a third-party consultant who shall work with utilities, customers, and other stakeholders to develop better tools for utilities, particularly tools that give them better situational awareness that will keep electricity rates low for consumers as we transition to the digital smart grid of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2020,</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for the first time the application for the incentive allowed under subsection (4) of this section after December 31, 2015.</w:t>
      </w:r>
    </w:p>
    <w:p>
      <w:pPr>
        <w:spacing w:before="0" w:after="0" w:line="408" w:lineRule="exact"/>
        <w:ind w:left="0" w:right="0" w:firstLine="576"/>
        <w:jc w:val="left"/>
      </w:pPr>
      <w:r>
        <w:rPr>
          <w:u w:val="single"/>
        </w:rPr>
        <w:t xml:space="preserve">(c)</w:t>
      </w: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permit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w:t>
      </w:r>
      <w:r>
        <w:rPr>
          <w:u w:val="single"/>
        </w:rPr>
        <w:t xml:space="preserve">under this section</w:t>
      </w:r>
      <w:r>
        <w:rPr/>
        <w:t xml:space="preserve"> exceed the amount of funds available for credit to the participating light and power business, the incentive payments must be reduced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0" w:after="0" w:line="408" w:lineRule="exact"/>
        <w:ind w:left="0" w:right="0" w:firstLine="576"/>
        <w:jc w:val="left"/>
      </w:pPr>
      <w:r>
        <w:rPr>
          <w:u w:val="single"/>
        </w:rPr>
        <w:t xml:space="preserve">(10) Beginning January 1, 2016, program management, technical review, and tracking responsibilities of the department under this section are transferred to the Washington State University extension energy program. At the earliest date practicable,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w:t>
      </w:r>
      <w:r>
        <w:rPr>
          <w:u w:val="single"/>
        </w:rPr>
        <w:t xml:space="preserve">(a)</w:t>
      </w:r>
      <w:r>
        <w:rPr/>
        <w:t xml:space="preserve">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5 of this act</w:t>
      </w:r>
      <w:r>
        <w:rPr/>
        <w:t xml:space="preserve">.</w:t>
      </w:r>
    </w:p>
    <w:p>
      <w:pPr>
        <w:spacing w:before="0" w:after="0" w:line="408" w:lineRule="exact"/>
        <w:ind w:left="0" w:right="0" w:firstLine="576"/>
        <w:jc w:val="left"/>
      </w:pPr>
      <w:r>
        <w:rPr>
          <w:u w:val="single"/>
        </w:rPr>
        <w:t xml:space="preserve">(b) A light and power business shall be allowed a one-time credit against taxes due under this chapter in an amount equal to the lesser of one hundred thousand dollars or the cost of purchasing software that: (i) Enables the light and power business to view the renewable energy systems for which the light and power business has made or will make incentive payments under RCW 82.16.120 and section 5 of this act; and (ii) is capable of electronically receiving data from the Washington State University extension energy program.</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w:t>
      </w:r>
      <w:r>
        <w:rPr>
          <w:u w:val="single"/>
        </w:rPr>
        <w:t xml:space="preserve">subsection (1)(a) of</w:t>
      </w:r>
      <w:r>
        <w:rPr/>
        <w:t xml:space="preserve"> this section for the fiscal year may not exceed </w:t>
      </w:r>
      <w:r>
        <w:t>((</w:t>
      </w:r>
      <w:r>
        <w:rPr>
          <w:strike/>
        </w:rPr>
        <w:t xml:space="preserve">one-half</w:t>
      </w:r>
      <w:r>
        <w:t>))</w:t>
      </w:r>
      <w:r>
        <w:rPr/>
        <w:t xml:space="preserve"> </w:t>
      </w:r>
      <w:r>
        <w:rPr>
          <w:u w:val="single"/>
        </w:rPr>
        <w:t xml:space="preserve">one</w:t>
      </w:r>
      <w:r>
        <w:rPr/>
        <w:t xml:space="preserve"> percent of the businesses' taxable power sales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w:t>
      </w:r>
      <w:r>
        <w:rPr>
          <w:u w:val="single"/>
        </w:rPr>
        <w:t xml:space="preserve">or, for payments made after January 1, 2016, that exceed the amount reported to the utility as payable by the Washington State University extension energy program as provided under section 5(17) of this act</w:t>
      </w:r>
      <w:r>
        <w:rPr/>
        <w:t xml:space="preserve">,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The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0" w:after="0" w:line="408" w:lineRule="exact"/>
        <w:ind w:left="0" w:right="0" w:firstLine="576"/>
        <w:jc w:val="left"/>
      </w:pPr>
      <w:r>
        <w:rPr>
          <w:u w:val="single"/>
        </w:rPr>
        <w:t xml:space="preserve">(7) The right to earn tax credits under subsection (1)(b) of this section expires December 31, 2015. Credits may not be claimed after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5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"Commercial-scale system" means a renewable energy system with nameplate capacity greater than ten kilowatts.</w:t>
      </w:r>
    </w:p>
    <w:p>
      <w:pPr>
        <w:spacing w:before="0" w:after="0" w:line="408" w:lineRule="exact"/>
        <w:ind w:left="0" w:right="0" w:firstLine="576"/>
        <w:jc w:val="left"/>
      </w:pPr>
      <w:r>
        <w:rPr/>
        <w:t xml:space="preserve">(3) "Community solar project" means a solar energy system: (a) That has a direct current nameplate generating capacity that is no larger than five hundred kilowatts; (b) that has at least ten participants, each of whom is a utility customer that is a meter holder of the electric utility that provides service at the situs of the solar energy system; and (c) in which each participant is an owner or beneficial owner of a share not exceeding ten kilowatts.</w:t>
      </w:r>
    </w:p>
    <w:p>
      <w:pPr>
        <w:spacing w:before="0" w:after="0" w:line="408" w:lineRule="exact"/>
        <w:ind w:left="0" w:right="0" w:firstLine="576"/>
        <w:jc w:val="left"/>
      </w:pPr>
      <w:r>
        <w:rPr/>
        <w:t xml:space="preserve">(4) "Competitive electrical company" has the same meaning as in section 11 of this act.</w:t>
      </w:r>
    </w:p>
    <w:p>
      <w:pPr>
        <w:spacing w:before="0" w:after="0" w:line="408" w:lineRule="exact"/>
        <w:ind w:left="0" w:right="0" w:firstLine="576"/>
        <w:jc w:val="left"/>
      </w:pPr>
      <w:r>
        <w:rPr/>
        <w:t xml:space="preserve">(5) "Competitive electrical services" has the same meaning as in section 11 of this act.</w:t>
      </w:r>
    </w:p>
    <w:p>
      <w:pPr>
        <w:spacing w:before="0" w:after="0" w:line="408" w:lineRule="exact"/>
        <w:ind w:left="0" w:right="0" w:firstLine="576"/>
        <w:jc w:val="left"/>
      </w:pPr>
      <w:r>
        <w:rPr/>
        <w:t xml:space="preserve">(6) "Consumer contract" has the same meaning as in section 11 of this act.</w:t>
      </w:r>
    </w:p>
    <w:p>
      <w:pPr>
        <w:spacing w:before="0" w:after="0" w:line="408" w:lineRule="exact"/>
        <w:ind w:left="0" w:right="0" w:firstLine="576"/>
        <w:jc w:val="left"/>
      </w:pPr>
      <w:r>
        <w:rPr/>
        <w:t xml:space="preserve">(7) "Consumer-owned utility" has the same meaning as in RCW 19.280.020.</w:t>
      </w:r>
    </w:p>
    <w:p>
      <w:pPr>
        <w:spacing w:before="0" w:after="0" w:line="408" w:lineRule="exact"/>
        <w:ind w:left="0" w:right="0" w:firstLine="576"/>
        <w:jc w:val="left"/>
      </w:pPr>
      <w:r>
        <w:rPr/>
        <w:t xml:space="preserve">(8) "Customer-owner" means the owner of a residential-scale or commercial-scale renewable energy system, where such owner is not a utility and is not a competitive electrical company, and such owner either owns the premises where the renewable energy system is installed or occupies the premises.</w:t>
      </w:r>
    </w:p>
    <w:p>
      <w:pPr>
        <w:spacing w:before="0" w:after="0" w:line="408" w:lineRule="exact"/>
        <w:ind w:left="0" w:right="0" w:firstLine="576"/>
        <w:jc w:val="left"/>
      </w:pPr>
      <w:r>
        <w:rPr/>
        <w:t xml:space="preserve">(9) "Leased energy system" means a renewable energy system that is located in Washington and installed on a utility customer's premises, where the renewable energy system is:</w:t>
      </w:r>
    </w:p>
    <w:p>
      <w:pPr>
        <w:spacing w:before="0" w:after="0" w:line="408" w:lineRule="exact"/>
        <w:ind w:left="0" w:right="0" w:firstLine="576"/>
        <w:jc w:val="left"/>
      </w:pPr>
      <w:r>
        <w:rPr/>
        <w:t xml:space="preserve">(a) Owned by a competitive electrical company that has a consumer contract with a customer of the utility for competitive electrical services, as such terms are defined in section 11 of this act; or</w:t>
      </w:r>
    </w:p>
    <w:p>
      <w:pPr>
        <w:spacing w:before="0" w:after="0" w:line="408" w:lineRule="exact"/>
        <w:ind w:left="0" w:right="0" w:firstLine="576"/>
        <w:jc w:val="left"/>
      </w:pPr>
      <w:r>
        <w:rPr/>
        <w:t xml:space="preserve">(b) Owned by an electric utility and installed on the customer's side of the meter.</w:t>
      </w:r>
    </w:p>
    <w:p>
      <w:pPr>
        <w:spacing w:before="0" w:after="0" w:line="408" w:lineRule="exact"/>
        <w:ind w:left="0" w:right="0" w:firstLine="576"/>
        <w:jc w:val="left"/>
      </w:pPr>
      <w:r>
        <w:rPr/>
        <w:t xml:space="preserve">(10) "Person" means any person or legal entity.</w:t>
      </w:r>
    </w:p>
    <w:p>
      <w:pPr>
        <w:spacing w:before="0" w:after="0" w:line="408" w:lineRule="exact"/>
        <w:ind w:left="0" w:right="0" w:firstLine="576"/>
        <w:jc w:val="left"/>
      </w:pPr>
      <w:r>
        <w:rPr/>
        <w:t xml:space="preserve">(11) "Renewable energy system" means a solar energy system,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with nameplate capacity of ten kilowatts or less.</w:t>
      </w:r>
    </w:p>
    <w:p>
      <w:pPr>
        <w:spacing w:before="0" w:after="0" w:line="408" w:lineRule="exact"/>
        <w:ind w:left="0" w:right="0" w:firstLine="576"/>
        <w:jc w:val="left"/>
      </w:pPr>
      <w:r>
        <w:rPr/>
        <w:t xml:space="preserve">(13) "Smart inverter" means an inverter capable of: (a) Enhancing the operating reliability of the grid by autonomously contributing to grid support during excursions from normal operating voltage and frequency system conditions; (b) providing dynamic volt-ampere reactive/real power support, voltage and frequency ride-through, ramp rate controls; and (c) accepting externally communicated commands and other functions.</w:t>
      </w:r>
    </w:p>
    <w:p>
      <w:pPr>
        <w:spacing w:before="0" w:after="0" w:line="408" w:lineRule="exact"/>
        <w:ind w:left="0" w:right="0" w:firstLine="576"/>
        <w:jc w:val="left"/>
      </w:pPr>
      <w:r>
        <w:rPr/>
        <w:t xml:space="preserve">(14) "Utility" means a consumer-owned utility or investor-owned utility as those terms are defined in RCW 19.280.020.</w:t>
      </w:r>
    </w:p>
    <w:p>
      <w:pPr>
        <w:spacing w:before="0" w:after="0" w:line="408" w:lineRule="exact"/>
        <w:ind w:left="0" w:right="0" w:firstLine="576"/>
        <w:jc w:val="left"/>
      </w:pPr>
      <w:r>
        <w:rPr/>
        <w:t xml:space="preserve">(15) "Washington State University energy program" means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2016, the following may apply to the Washington State University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customer-owner of a residential-scale or commercial-scale renewable energy system;</w:t>
      </w:r>
    </w:p>
    <w:p>
      <w:pPr>
        <w:spacing w:before="0" w:after="0" w:line="408" w:lineRule="exact"/>
        <w:ind w:left="0" w:right="0" w:firstLine="576"/>
        <w:jc w:val="left"/>
      </w:pPr>
      <w:r>
        <w:rPr/>
        <w:t xml:space="preserve">(b) In the case of a community solar project, a person or entity designated by all participants to be the project sponsor, who must apply on behalf of each of the other participants;</w:t>
      </w:r>
    </w:p>
    <w:p>
      <w:pPr>
        <w:spacing w:before="0" w:after="0" w:line="408" w:lineRule="exact"/>
        <w:ind w:left="0" w:right="0" w:firstLine="576"/>
        <w:jc w:val="left"/>
      </w:pPr>
      <w:r>
        <w:rPr/>
        <w:t xml:space="preserve">(c) In the case of a leased energy system owned by a utility, the utility, who must apply on behalf of its utility customer who hosts the leased energy system; and</w:t>
      </w:r>
    </w:p>
    <w:p>
      <w:pPr>
        <w:spacing w:before="0" w:after="0" w:line="408" w:lineRule="exact"/>
        <w:ind w:left="0" w:right="0" w:firstLine="576"/>
        <w:jc w:val="left"/>
      </w:pPr>
      <w:r>
        <w:rPr/>
        <w:t xml:space="preserve">(d) In the case of a leased energy system owned by a competitive electrical company, the utility customer who is hosting the system.</w:t>
      </w:r>
    </w:p>
    <w:p>
      <w:pPr>
        <w:spacing w:before="0" w:after="0" w:line="408" w:lineRule="exact"/>
        <w:ind w:left="0" w:right="0" w:firstLine="576"/>
        <w:jc w:val="left"/>
      </w:pPr>
      <w:r>
        <w:rPr/>
        <w:t xml:space="preserve">(2) No certification may be issued under this section for:</w:t>
      </w:r>
    </w:p>
    <w:p>
      <w:pPr>
        <w:spacing w:before="0" w:after="0" w:line="408" w:lineRule="exact"/>
        <w:ind w:left="0" w:right="0" w:firstLine="576"/>
        <w:jc w:val="left"/>
      </w:pPr>
      <w:r>
        <w:rPr/>
        <w:t xml:space="preserve">(a) A renewable energy system that was certified under RCW 82.16.120; or</w:t>
      </w:r>
    </w:p>
    <w:p>
      <w:pPr>
        <w:spacing w:before="0" w:after="0" w:line="408" w:lineRule="exact"/>
        <w:ind w:left="0" w:right="0" w:firstLine="576"/>
        <w:jc w:val="left"/>
      </w:pPr>
      <w:r>
        <w:rPr/>
        <w:t xml:space="preserve">(b) A renewable energy system served by a utility who has elected not to participate in the incentive program, as provided in subsection (3) of this section.</w:t>
      </w:r>
    </w:p>
    <w:p>
      <w:pPr>
        <w:spacing w:before="0" w:after="0" w:line="408" w:lineRule="exact"/>
        <w:ind w:left="0" w:right="0" w:firstLine="576"/>
        <w:jc w:val="left"/>
      </w:pPr>
      <w:r>
        <w:rPr/>
        <w:t xml:space="preserve">(3) A utility's participation in the incentive program provided in this section is voluntary. A utility electing to participate in the incentive program shall notify the Washington State University energy program of such election in writing by December 1st preceding the calendar year in which the utility will participate. Such notice shall also identify an annual incentive payment date and an annual net metering true-up date for program participants served by that utility that are aligned with that utility's billing system cycles and with customer meter systems.</w:t>
      </w:r>
    </w:p>
    <w:p>
      <w:pPr>
        <w:spacing w:before="0" w:after="0" w:line="408" w:lineRule="exact"/>
        <w:ind w:left="0" w:right="0" w:firstLine="576"/>
        <w:jc w:val="left"/>
      </w:pPr>
      <w:r>
        <w:rPr/>
        <w:t xml:space="preserve">(4) The utility may terminate its voluntary participation in the production incentive program by providing notice in writing to the Washington State University energy program to cease issuing new certifications for renewable energy systems that would be served by that utility.</w:t>
      </w:r>
    </w:p>
    <w:p>
      <w:pPr>
        <w:spacing w:before="0" w:after="0" w:line="408" w:lineRule="exact"/>
        <w:ind w:left="0" w:right="0" w:firstLine="576"/>
        <w:jc w:val="left"/>
      </w:pPr>
      <w:r>
        <w:rPr/>
        <w:t xml:space="preserve">(a) A utility's notice of termination of participation is effective after fifteen days, at which point the Washington State University energy program may not accept new applications for certification from renewable energy systems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energy program must report on its web site that renewable energy systems that would be served by that utility are no longer eligible to receive new certification for a renewable energy system.</w:t>
      </w:r>
    </w:p>
    <w:p>
      <w:pPr>
        <w:spacing w:before="0" w:after="0" w:line="408" w:lineRule="exact"/>
        <w:ind w:left="0" w:right="0" w:firstLine="576"/>
        <w:jc w:val="left"/>
      </w:pPr>
      <w:r>
        <w:rPr/>
        <w:t xml:space="preserve">(c) A utility's termination of participation does not affect the utility's obligation to continue to make annual incentive payments to systems that have already been certified.</w:t>
      </w:r>
    </w:p>
    <w:p>
      <w:pPr>
        <w:spacing w:before="0" w:after="0" w:line="408" w:lineRule="exact"/>
        <w:ind w:left="0" w:right="0" w:firstLine="576"/>
        <w:jc w:val="left"/>
      </w:pPr>
      <w:r>
        <w:rPr/>
        <w:t xml:space="preserve">(d) The Washington State University energy program must continue to process and issue certifications for renewable energy systems that were received by the Washington State University energy program before the effective date of the notice of termination.</w:t>
      </w:r>
    </w:p>
    <w:p>
      <w:pPr>
        <w:spacing w:before="0" w:after="0" w:line="408" w:lineRule="exact"/>
        <w:ind w:left="0" w:right="0" w:firstLine="576"/>
        <w:jc w:val="left"/>
      </w:pPr>
      <w:r>
        <w:rPr/>
        <w:t xml:space="preserve">(e) A utility that has terminated participation in the program may resume participation upon filing notice with the Washington State University energy program.</w:t>
      </w:r>
    </w:p>
    <w:p>
      <w:pPr>
        <w:spacing w:before="0" w:after="0" w:line="408" w:lineRule="exact"/>
        <w:ind w:left="0" w:right="0" w:firstLine="576"/>
        <w:jc w:val="left"/>
      </w:pPr>
      <w:r>
        <w:rPr/>
        <w:t xml:space="preserve">(5) The Washington State University energy program may only certify a renewable energy system that meets the following eligibility criteria:</w:t>
      </w:r>
    </w:p>
    <w:p>
      <w:pPr>
        <w:spacing w:before="0" w:after="0" w:line="408" w:lineRule="exact"/>
        <w:ind w:left="0" w:right="0" w:firstLine="576"/>
        <w:jc w:val="left"/>
      </w:pPr>
      <w:r>
        <w:rPr/>
        <w:t xml:space="preserve">(a) The renewable energy system is connected to equipment capable of measuring the electricity production of the system and interconnects with the utility's system in a manner that allows the utility to measure and report electronically to the Washington State University energy program the total amount of electricity produced on the premises.</w:t>
      </w:r>
    </w:p>
    <w:p>
      <w:pPr>
        <w:spacing w:before="0" w:after="0" w:line="408" w:lineRule="exact"/>
        <w:ind w:left="0" w:right="0" w:firstLine="576"/>
        <w:jc w:val="left"/>
      </w:pPr>
      <w:r>
        <w:rPr/>
        <w:t xml:space="preserve">(b) If the renewable energy system is a solar energy system, the manufacturer, as the term is defined in section 9 of this act, is registered as a participant in the solar module recycling program described in section 9 of this act.</w:t>
      </w:r>
    </w:p>
    <w:p>
      <w:pPr>
        <w:spacing w:before="0" w:after="0" w:line="408" w:lineRule="exact"/>
        <w:ind w:left="0" w:right="0" w:firstLine="576"/>
        <w:jc w:val="left"/>
      </w:pPr>
      <w:r>
        <w:rPr/>
        <w:t xml:space="preserve">(6) No renewable energy system is eligible for certification to receive annual incentive payments provided under this section for more than the following amounts:</w:t>
      </w:r>
    </w:p>
    <w:p>
      <w:pPr>
        <w:spacing w:before="0" w:after="0" w:line="408" w:lineRule="exact"/>
        <w:ind w:left="0" w:right="0" w:firstLine="576"/>
        <w:jc w:val="left"/>
      </w:pPr>
      <w:r>
        <w:rPr/>
        <w:t xml:space="preserve">(a) Five thousand dollars for a system with under ten kilowatts nameplate capacity;</w:t>
      </w:r>
    </w:p>
    <w:p>
      <w:pPr>
        <w:spacing w:before="0" w:after="0" w:line="408" w:lineRule="exact"/>
        <w:ind w:left="0" w:right="0" w:firstLine="576"/>
        <w:jc w:val="left"/>
      </w:pPr>
      <w:r>
        <w:rPr/>
        <w:t xml:space="preserve">(b) Five thousand dollars per community solar project participant;</w:t>
      </w:r>
    </w:p>
    <w:p>
      <w:pPr>
        <w:spacing w:before="0" w:after="0" w:line="408" w:lineRule="exact"/>
        <w:ind w:left="0" w:right="0" w:firstLine="576"/>
        <w:jc w:val="left"/>
      </w:pPr>
      <w:r>
        <w:rPr/>
        <w:t xml:space="preserve">(c) Five hundred dollars per kilowatt or twenty-five thousand dollars, whichever is less, for any system other than a community solar project that is ten kilowatts or larger.</w:t>
      </w:r>
    </w:p>
    <w:p>
      <w:pPr>
        <w:spacing w:before="0" w:after="0" w:line="408" w:lineRule="exact"/>
        <w:ind w:left="0" w:right="0" w:firstLine="576"/>
        <w:jc w:val="left"/>
      </w:pPr>
      <w:r>
        <w:rPr/>
        <w:t xml:space="preserve">(7) No person may be a participant in more than one community solar project per meter for which the person is a meter holder.</w:t>
      </w:r>
    </w:p>
    <w:p>
      <w:pPr>
        <w:spacing w:before="0" w:after="0" w:line="408" w:lineRule="exact"/>
        <w:ind w:left="0" w:right="0" w:firstLine="576"/>
        <w:jc w:val="left"/>
      </w:pPr>
      <w:r>
        <w:rPr/>
        <w:t xml:space="preserve">(8) To obtain certification to receive the annual production incentive payments provided in this section for electricity produced by a renewable energy system, a person must submit to the Washington State University energy program:</w:t>
      </w:r>
    </w:p>
    <w:p>
      <w:pPr>
        <w:spacing w:before="0" w:after="0" w:line="408" w:lineRule="exact"/>
        <w:ind w:left="0" w:right="0" w:firstLine="576"/>
        <w:jc w:val="left"/>
      </w:pPr>
      <w:r>
        <w:rPr/>
        <w:t xml:space="preserve">(a) An application, which must include, but is not limited to, the following:</w:t>
      </w:r>
    </w:p>
    <w:p>
      <w:pPr>
        <w:spacing w:before="0" w:after="0" w:line="408" w:lineRule="exact"/>
        <w:ind w:left="0" w:right="0" w:firstLine="576"/>
        <w:jc w:val="left"/>
      </w:pPr>
      <w:r>
        <w:rPr/>
        <w:t xml:space="preserve">(i) An affidavit that the applicant has not previously received a certification from the department under RCW 82.16.120 entitling it to receive annual incentive payments for electricity generated by the renewable energy system;</w:t>
      </w:r>
    </w:p>
    <w:p>
      <w:pPr>
        <w:spacing w:before="0" w:after="0" w:line="408" w:lineRule="exact"/>
        <w:ind w:left="0" w:right="0" w:firstLine="576"/>
        <w:jc w:val="left"/>
      </w:pPr>
      <w:r>
        <w:rPr/>
        <w:t xml:space="preserve">(ii) A statement of the amount of annual electricity production expected from the renewable energy system and an estimate of the annual electrical demand of the premises;</w:t>
      </w:r>
    </w:p>
    <w:p>
      <w:pPr>
        <w:spacing w:before="0" w:after="0" w:line="408" w:lineRule="exact"/>
        <w:ind w:left="0" w:right="0" w:firstLine="576"/>
        <w:jc w:val="left"/>
      </w:pPr>
      <w:r>
        <w:rPr/>
        <w:t xml:space="preserve">(iii) The date that the renewable energy system received its final electrical inspection from the applicable local jurisdiction, as well as a copy of the permit;</w:t>
      </w:r>
    </w:p>
    <w:p>
      <w:pPr>
        <w:spacing w:before="0" w:after="0" w:line="408" w:lineRule="exact"/>
        <w:ind w:left="0" w:right="0" w:firstLine="576"/>
        <w:jc w:val="left"/>
      </w:pPr>
      <w:r>
        <w:rPr/>
        <w:t xml:space="preserve">(iv) Any information identified by the Washington State University energy program in consultation with the utilities and transportation commission, utilities, and the department of commerce as necessary for establishing a central platform that allows an electric utility to view solar energy systems receiving the production incentive as a fleet, such as panel global positioning system coordinates, tilt, shading, and azimuth; and</w:t>
      </w:r>
    </w:p>
    <w:p>
      <w:pPr>
        <w:spacing w:before="0" w:after="0" w:line="408" w:lineRule="exact"/>
        <w:ind w:left="0" w:right="0" w:firstLine="576"/>
        <w:jc w:val="left"/>
      </w:pPr>
      <w:r>
        <w:rPr/>
        <w:t xml:space="preserve">(v) Any other information the Washington State University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8 of this act.</w:t>
      </w:r>
    </w:p>
    <w:p>
      <w:pPr>
        <w:spacing w:before="0" w:after="0" w:line="408" w:lineRule="exact"/>
        <w:ind w:left="0" w:right="0" w:firstLine="576"/>
        <w:jc w:val="left"/>
      </w:pPr>
      <w:r>
        <w:rPr/>
        <w:t xml:space="preserve">(b) A copy of the signed uniform disclosure of essential terms provided by the installation company, competitive electrical service provider, or electric utility pursuant to section 6 of this act.</w:t>
      </w:r>
    </w:p>
    <w:p>
      <w:pPr>
        <w:spacing w:before="0" w:after="0" w:line="408" w:lineRule="exact"/>
        <w:ind w:left="0" w:right="0" w:firstLine="576"/>
        <w:jc w:val="left"/>
      </w:pPr>
      <w:r>
        <w:rPr/>
        <w:t xml:space="preserve">(9) Within thirty days of receipt of the application for certification, the Washington State University energy program must notify the applicant and the utility serving the situs of the system, by mail or electronically, of whether certification has been granted. The certification notice must state the rate to be paid per kilowatt-hour of electricity generated by the renewable energy system, as provided in subsection (11)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due to evolutionary standards or interpretations by the Washington State University energy program, except it may be adjusted in response to later discovered errors in the original application or certification. Certification of a renewable energy system follows the system with the transfer of property if the owner of the renewable energy system notifies the Washington State University energy program of the transfer using procedures established by the Washington State University energy program.</w:t>
      </w:r>
    </w:p>
    <w:p>
      <w:pPr>
        <w:spacing w:before="0" w:after="0" w:line="408" w:lineRule="exact"/>
        <w:ind w:left="0" w:right="0" w:firstLine="576"/>
        <w:jc w:val="left"/>
      </w:pPr>
      <w:r>
        <w:rPr/>
        <w:t xml:space="preserve">(11) The Washington State University energy program must determine the total incentive rate for a new renewable energy system certification by adding to the base rate any applicable bonus rates.</w:t>
      </w:r>
    </w:p>
    <w:p>
      <w:pPr>
        <w:spacing w:before="0" w:after="0" w:line="408" w:lineRule="exact"/>
        <w:ind w:left="0" w:right="0" w:firstLine="576"/>
        <w:jc w:val="left"/>
      </w:pPr>
      <w:r>
        <w:rPr/>
        <w:t xml:space="preserve">(a) For new systems certified in calendar year 2016, the base incentive rate available under this section, payable for a period of ten years from the date that a system commences operation, per kilowatt-hour generated by the renewable energy system, is sixteen cents per kilowatt-hour for a residential-scale renewable energy system or community solar project and ten cents per kilowatt-hour for a commercial-scale renewable energy system.</w:t>
      </w:r>
    </w:p>
    <w:p>
      <w:pPr>
        <w:spacing w:before="0" w:after="0" w:line="408" w:lineRule="exact"/>
        <w:ind w:left="0" w:right="0" w:firstLine="576"/>
        <w:jc w:val="left"/>
      </w:pPr>
      <w:r>
        <w:rPr/>
        <w:t xml:space="preserve">(b) In 2016, the following bonus rates shall be available:</w:t>
      </w:r>
    </w:p>
    <w:p>
      <w:pPr>
        <w:spacing w:before="0" w:after="0" w:line="408" w:lineRule="exact"/>
        <w:ind w:left="0" w:right="0" w:firstLine="576"/>
        <w:jc w:val="left"/>
      </w:pPr>
      <w:r>
        <w:rPr/>
        <w:t xml:space="preserve">(i) Twelve cents per kilowatt-hour for electricity generated by a renewable energy system with solar modules made in Washington or with a wind turbine or tower that is made in Washington;</w:t>
      </w:r>
    </w:p>
    <w:p>
      <w:pPr>
        <w:spacing w:before="0" w:after="0" w:line="408" w:lineRule="exact"/>
        <w:ind w:left="0" w:right="0" w:firstLine="576"/>
        <w:jc w:val="left"/>
      </w:pPr>
      <w:r>
        <w:rPr/>
        <w:t xml:space="preserve">(ii) Five cents per kilowatt-hour for electricity generated by a renewable energy system that includes a smart inverter;</w:t>
      </w:r>
    </w:p>
    <w:p>
      <w:pPr>
        <w:spacing w:before="0" w:after="0" w:line="408" w:lineRule="exact"/>
        <w:ind w:left="0" w:right="0" w:firstLine="576"/>
        <w:jc w:val="left"/>
      </w:pPr>
      <w:r>
        <w:rPr/>
        <w:t xml:space="preserve">(iii) Five cents per kilowatt-hour for electricity generated by a renewable energy system that is participating in a pilot project identified by the third-party consultant in the "smart plan for the smart grid" report to the legislature provided in section 7(2)(b) of this act; and</w:t>
      </w:r>
    </w:p>
    <w:p>
      <w:pPr>
        <w:spacing w:before="0" w:after="0" w:line="408" w:lineRule="exact"/>
        <w:ind w:left="0" w:right="0" w:firstLine="576"/>
        <w:jc w:val="left"/>
      </w:pPr>
      <w:r>
        <w:rPr/>
        <w:t xml:space="preserve">(iv) Five cents per kilowatt-hour for a community solar project, where the owner files an affidavit with the Washington State University energy program attesting that the entity is unable to benefit from the federal investment tax credit provided in section 48 of the internal revenue code, and the federal residential renewable energy tax credit provided in section 25D of the internal revenue code and has not contracted with and will not contract with a third party capable of benefiting from such incentives for competitive electrical services related to the community solar project.</w:t>
      </w:r>
    </w:p>
    <w:p>
      <w:pPr>
        <w:spacing w:before="0" w:after="0" w:line="408" w:lineRule="exact"/>
        <w:ind w:left="0" w:right="0" w:firstLine="576"/>
        <w:jc w:val="left"/>
      </w:pPr>
      <w:r>
        <w:rPr/>
        <w:t xml:space="preserve">(c) For new system certifications after calendar year 2016, the base rates and the bonus rates for made in Washington systems and smart inverters must decline as follows:</w:t>
      </w:r>
    </w:p>
    <w:tbl>
      <w:tblPr>
        <w:tblW w:w="0" w:type="auto"/>
        <w:jc w:val="center"/>
        <w:tcMar>
          <w:tblCellMar>
            <w:top w:w="0" w:type="dxa"/>
          </w:tblCellMar>
        </w:tcMar>
        <w:tcMar>
          <w:tblCellMar>
            <w:left w:w="70" w:type="dxa"/>
            <w:right w:w="70" w:type="dxa"/>
          </w:tblCellMar>
        </w:tcMar>
      </w:tblPr>
      <w:tblGrid>
        <w:gridCol w:w="972"/>
        <w:gridCol w:w="972"/>
        <w:gridCol w:w="972"/>
        <w:gridCol w:w="972"/>
        <w:gridCol w:w="972"/>
      </w:tblGrid>
      <w:tr>
        <w:tc>
          <w:tcPr>
            <w:tcW w:w="972" w:type="dxa"/>
            <w:vAlign w:val="top"/>
          </w:tcPr>
          <w:p>
            <w:pPr>
              <w:spacing w:before="0" w:after="0" w:line="408" w:lineRule="exact"/>
              <w:ind w:left="0" w:right="0" w:firstLine="0"/>
              <w:jc w:val="center"/>
            </w:pPr>
            <w:r>
              <w:rPr>
                <w:rFonts w:ascii="Times New Roman" w:hAnsi="Times New Roman"/>
                <w:sz w:val="20"/>
              </w:rPr>
              <w:t xml:space="preserve">Calendar year of system </w:t>
            </w:r>
            <w:r>
              <w:rPr>
                <w:rFonts w:ascii="Times New Roman" w:hAnsi="Times New Roman"/>
                <w:sz w:val="20"/>
              </w:rPr>
              <w:t xml:space="preserve">certification</w:t>
            </w:r>
          </w:p>
        </w:tc>
        <w:tc>
          <w:tcPr>
            <w:tcW w:w="972" w:type="dxa"/>
            <w:vAlign w:val="top"/>
          </w:tcPr>
          <w:p>
            <w:pPr>
              <w:spacing w:before="0" w:after="0" w:line="408" w:lineRule="exact"/>
              <w:ind w:left="0" w:right="0" w:firstLine="0"/>
              <w:jc w:val="center"/>
            </w:pPr>
            <w:r>
              <w:rPr>
                <w:rFonts w:ascii="Times New Roman" w:hAnsi="Times New Roman"/>
                <w:sz w:val="20"/>
              </w:rPr>
              <w:t xml:space="preserve">Base rate - </w:t>
            </w:r>
            <w:r>
              <w:rPr>
                <w:rFonts w:ascii="Times New Roman" w:hAnsi="Times New Roman"/>
                <w:sz w:val="20"/>
              </w:rPr>
              <w:t xml:space="preserve">residential</w:t>
            </w:r>
            <w:r>
              <w:rPr>
                <w:rFonts w:ascii="Times New Roman" w:hAnsi="Times New Roman"/>
                <w:sz w:val="20"/>
              </w:rPr>
              <w:t xml:space="preserve"> and </w:t>
            </w:r>
            <w:r>
              <w:rPr>
                <w:rFonts w:ascii="Times New Roman" w:hAnsi="Times New Roman"/>
                <w:sz w:val="20"/>
              </w:rPr>
              <w:t xml:space="preserve">community</w:t>
            </w:r>
            <w:r>
              <w:rPr>
                <w:rFonts w:ascii="Times New Roman" w:hAnsi="Times New Roman"/>
                <w:sz w:val="20"/>
              </w:rPr>
              <w:t xml:space="preserve"> solar projects</w:t>
            </w:r>
          </w:p>
        </w:tc>
        <w:tc>
          <w:tcPr>
            <w:tcW w:w="972" w:type="dxa"/>
            <w:vAlign w:val="top"/>
          </w:tcPr>
          <w:p>
            <w:pPr>
              <w:spacing w:before="0" w:after="0" w:line="408" w:lineRule="exact"/>
              <w:ind w:left="0" w:right="0" w:firstLine="0"/>
              <w:jc w:val="center"/>
            </w:pPr>
            <w:r>
              <w:rPr>
                <w:rFonts w:ascii="Times New Roman" w:hAnsi="Times New Roman"/>
                <w:sz w:val="20"/>
              </w:rPr>
              <w:t xml:space="preserve">Base rate - </w:t>
            </w:r>
            <w:r>
              <w:rPr>
                <w:rFonts w:ascii="Times New Roman" w:hAnsi="Times New Roman"/>
                <w:sz w:val="20"/>
              </w:rPr>
              <w:t xml:space="preserve">commercial</w:t>
            </w:r>
          </w:p>
        </w:tc>
        <w:tc>
          <w:tcPr>
            <w:tcW w:w="972" w:type="dxa"/>
            <w:vAlign w:val="top"/>
          </w:tcPr>
          <w:p>
            <w:pPr>
              <w:spacing w:before="0" w:after="0" w:line="408" w:lineRule="exact"/>
              <w:ind w:left="0" w:right="0" w:firstLine="0"/>
              <w:jc w:val="center"/>
            </w:pPr>
            <w:r>
              <w:rPr>
                <w:rFonts w:ascii="Times New Roman" w:hAnsi="Times New Roman"/>
                <w:sz w:val="20"/>
              </w:rPr>
              <w:t xml:space="preserve">Made in </w:t>
            </w:r>
            <w:r>
              <w:rPr>
                <w:rFonts w:ascii="Times New Roman" w:hAnsi="Times New Roman"/>
                <w:sz w:val="20"/>
              </w:rPr>
              <w:t xml:space="preserve">Washington</w:t>
            </w:r>
            <w:r>
              <w:rPr>
                <w:rFonts w:ascii="Times New Roman" w:hAnsi="Times New Roman"/>
                <w:sz w:val="20"/>
              </w:rPr>
              <w:t xml:space="preserve"> bonus</w:t>
            </w:r>
          </w:p>
        </w:tc>
        <w:tc>
          <w:tcPr>
            <w:tcW w:w="972" w:type="dxa"/>
            <w:vAlign w:val="top"/>
          </w:tcPr>
          <w:p>
            <w:pPr>
              <w:spacing w:before="0" w:after="0" w:line="408" w:lineRule="exact"/>
              <w:ind w:left="0" w:right="0" w:firstLine="0"/>
              <w:jc w:val="center"/>
            </w:pPr>
            <w:r>
              <w:rPr>
                <w:rFonts w:ascii="Times New Roman" w:hAnsi="Times New Roman"/>
                <w:sz w:val="20"/>
              </w:rPr>
              <w:t xml:space="preserve">Inverter bonus</w:t>
            </w:r>
          </w:p>
        </w:tc>
      </w:tr>
      <w:tr>
        <w:tc>
          <w:tcPr>
            <w:tcW w:w="972" w:type="dxa"/>
            <w:vAlign w:val="top"/>
          </w:tcPr>
          <w:p>
            <w:pPr>
              <w:spacing w:before="0" w:after="0" w:line="408" w:lineRule="exact"/>
              <w:ind w:left="0" w:right="0" w:firstLine="0"/>
              <w:jc w:val="left"/>
            </w:pPr>
            <w:r>
              <w:rPr>
                <w:rFonts w:ascii="Times New Roman" w:hAnsi="Times New Roman"/>
                <w:sz w:val="20"/>
              </w:rPr>
              <w:t xml:space="preserve">2016</w:t>
            </w:r>
          </w:p>
        </w:tc>
        <w:tc>
          <w:tcPr>
            <w:tcW w:w="972" w:type="dxa"/>
            <w:vAlign w:val="top"/>
          </w:tcPr>
          <w:p>
            <w:pPr>
              <w:spacing w:before="0" w:after="0" w:line="408" w:lineRule="exact"/>
              <w:ind w:left="0" w:right="0" w:firstLine="0"/>
              <w:jc w:val="left"/>
            </w:pPr>
            <w:r>
              <w:rPr>
                <w:rFonts w:ascii="Times New Roman" w:hAnsi="Times New Roman"/>
                <w:sz w:val="20"/>
              </w:rPr>
              <w:t xml:space="preserve">$0.160</w:t>
            </w:r>
          </w:p>
        </w:tc>
        <w:tc>
          <w:tcPr>
            <w:tcW w:w="972" w:type="dxa"/>
            <w:vAlign w:val="top"/>
          </w:tcPr>
          <w:p>
            <w:pPr>
              <w:spacing w:before="0" w:after="0" w:line="408" w:lineRule="exact"/>
              <w:ind w:left="0" w:right="0" w:firstLine="0"/>
              <w:jc w:val="left"/>
            </w:pPr>
            <w:r>
              <w:rPr>
                <w:rFonts w:ascii="Times New Roman" w:hAnsi="Times New Roman"/>
                <w:sz w:val="20"/>
              </w:rPr>
              <w:t xml:space="preserve">$0.100</w:t>
            </w:r>
          </w:p>
        </w:tc>
        <w:tc>
          <w:tcPr>
            <w:tcW w:w="972" w:type="dxa"/>
            <w:vAlign w:val="top"/>
          </w:tcPr>
          <w:p>
            <w:pPr>
              <w:spacing w:before="0" w:after="0" w:line="408" w:lineRule="exact"/>
              <w:ind w:left="0" w:right="0" w:firstLine="0"/>
              <w:jc w:val="left"/>
            </w:pPr>
            <w:r>
              <w:rPr>
                <w:rFonts w:ascii="Times New Roman" w:hAnsi="Times New Roman"/>
                <w:sz w:val="20"/>
              </w:rPr>
              <w:t xml:space="preserve">$0.120</w:t>
            </w:r>
          </w:p>
        </w:tc>
        <w:tc>
          <w:tcPr>
            <w:tcW w:w="972" w:type="dxa"/>
            <w:vAlign w:val="top"/>
          </w:tcPr>
          <w:p>
            <w:pPr>
              <w:spacing w:before="0" w:after="0" w:line="408" w:lineRule="exact"/>
              <w:ind w:left="0" w:right="0" w:firstLine="0"/>
              <w:jc w:val="left"/>
            </w:pPr>
            <w:r>
              <w:rPr>
                <w:rFonts w:ascii="Times New Roman" w:hAnsi="Times New Roman"/>
                <w:sz w:val="20"/>
              </w:rPr>
              <w:t xml:space="preserve">$0.050</w:t>
            </w:r>
          </w:p>
        </w:tc>
      </w:tr>
      <w:tr>
        <w:tc>
          <w:tcPr>
            <w:tcW w:w="972" w:type="dxa"/>
            <w:vAlign w:val="top"/>
          </w:tcPr>
          <w:p>
            <w:pPr>
              <w:spacing w:before="0" w:after="0" w:line="408" w:lineRule="exact"/>
              <w:ind w:left="0" w:right="0" w:firstLine="0"/>
              <w:jc w:val="left"/>
            </w:pPr>
            <w:r>
              <w:rPr>
                <w:rFonts w:ascii="Times New Roman" w:hAnsi="Times New Roman"/>
                <w:sz w:val="20"/>
              </w:rPr>
              <w:t xml:space="preserve">2017</w:t>
            </w:r>
          </w:p>
        </w:tc>
        <w:tc>
          <w:tcPr>
            <w:tcW w:w="972" w:type="dxa"/>
            <w:vAlign w:val="top"/>
          </w:tcPr>
          <w:p>
            <w:pPr>
              <w:spacing w:before="0" w:after="0" w:line="408" w:lineRule="exact"/>
              <w:ind w:left="0" w:right="0" w:firstLine="0"/>
              <w:jc w:val="left"/>
            </w:pPr>
            <w:r>
              <w:rPr>
                <w:rFonts w:ascii="Times New Roman" w:hAnsi="Times New Roman"/>
                <w:sz w:val="20"/>
              </w:rPr>
              <w:t xml:space="preserve">$0.135</w:t>
            </w:r>
          </w:p>
        </w:tc>
        <w:tc>
          <w:tcPr>
            <w:tcW w:w="972" w:type="dxa"/>
            <w:vAlign w:val="top"/>
          </w:tcPr>
          <w:p>
            <w:pPr>
              <w:spacing w:before="0" w:after="0" w:line="408" w:lineRule="exact"/>
              <w:ind w:left="0" w:right="0" w:firstLine="0"/>
              <w:jc w:val="left"/>
            </w:pPr>
            <w:r>
              <w:rPr>
                <w:rFonts w:ascii="Times New Roman" w:hAnsi="Times New Roman"/>
                <w:sz w:val="20"/>
              </w:rPr>
              <w:t xml:space="preserve">$0.085</w:t>
            </w:r>
          </w:p>
        </w:tc>
        <w:tc>
          <w:tcPr>
            <w:tcW w:w="972" w:type="dxa"/>
            <w:vAlign w:val="top"/>
          </w:tcPr>
          <w:p>
            <w:pPr>
              <w:spacing w:before="0" w:after="0" w:line="408" w:lineRule="exact"/>
              <w:ind w:left="0" w:right="0" w:firstLine="0"/>
              <w:jc w:val="left"/>
            </w:pPr>
            <w:r>
              <w:rPr>
                <w:rFonts w:ascii="Times New Roman" w:hAnsi="Times New Roman"/>
                <w:sz w:val="20"/>
              </w:rPr>
              <w:t xml:space="preserve">$0.095</w:t>
            </w:r>
          </w:p>
        </w:tc>
        <w:tc>
          <w:tcPr>
            <w:tcW w:w="972" w:type="dxa"/>
            <w:vAlign w:val="top"/>
          </w:tcPr>
          <w:p>
            <w:pPr>
              <w:spacing w:before="0" w:after="0" w:line="408" w:lineRule="exact"/>
              <w:ind w:left="0" w:right="0" w:firstLine="0"/>
              <w:jc w:val="left"/>
            </w:pPr>
            <w:r>
              <w:rPr>
                <w:rFonts w:ascii="Times New Roman" w:hAnsi="Times New Roman"/>
                <w:sz w:val="20"/>
              </w:rPr>
              <w:t xml:space="preserve">$0.040</w:t>
            </w:r>
          </w:p>
        </w:tc>
      </w:tr>
      <w:tr>
        <w:tc>
          <w:tcPr>
            <w:tcW w:w="972" w:type="dxa"/>
            <w:vAlign w:val="top"/>
          </w:tcPr>
          <w:p>
            <w:pPr>
              <w:spacing w:before="0" w:after="0" w:line="408" w:lineRule="exact"/>
              <w:ind w:left="0" w:right="0" w:firstLine="0"/>
              <w:jc w:val="left"/>
            </w:pPr>
            <w:r>
              <w:rPr>
                <w:rFonts w:ascii="Times New Roman" w:hAnsi="Times New Roman"/>
                <w:sz w:val="20"/>
              </w:rPr>
              <w:t xml:space="preserve">2018</w:t>
            </w:r>
          </w:p>
        </w:tc>
        <w:tc>
          <w:tcPr>
            <w:tcW w:w="972" w:type="dxa"/>
            <w:vAlign w:val="top"/>
          </w:tcPr>
          <w:p>
            <w:pPr>
              <w:spacing w:before="0" w:after="0" w:line="408" w:lineRule="exact"/>
              <w:ind w:left="0" w:right="0" w:firstLine="0"/>
              <w:jc w:val="left"/>
            </w:pPr>
            <w:r>
              <w:rPr>
                <w:rFonts w:ascii="Times New Roman" w:hAnsi="Times New Roman"/>
                <w:sz w:val="20"/>
              </w:rPr>
              <w:t xml:space="preserve">$0.110</w:t>
            </w:r>
          </w:p>
        </w:tc>
        <w:tc>
          <w:tcPr>
            <w:tcW w:w="972" w:type="dxa"/>
            <w:vAlign w:val="top"/>
          </w:tcPr>
          <w:p>
            <w:pPr>
              <w:spacing w:before="0" w:after="0" w:line="408" w:lineRule="exact"/>
              <w:ind w:left="0" w:right="0" w:firstLine="0"/>
              <w:jc w:val="left"/>
            </w:pPr>
            <w:r>
              <w:rPr>
                <w:rFonts w:ascii="Times New Roman" w:hAnsi="Times New Roman"/>
                <w:sz w:val="20"/>
              </w:rPr>
              <w:t xml:space="preserve">$0.070</w:t>
            </w:r>
          </w:p>
        </w:tc>
        <w:tc>
          <w:tcPr>
            <w:tcW w:w="972" w:type="dxa"/>
            <w:vAlign w:val="top"/>
          </w:tcPr>
          <w:p>
            <w:pPr>
              <w:spacing w:before="0" w:after="0" w:line="408" w:lineRule="exact"/>
              <w:ind w:left="0" w:right="0" w:firstLine="0"/>
              <w:jc w:val="left"/>
            </w:pPr>
            <w:r>
              <w:rPr>
                <w:rFonts w:ascii="Times New Roman" w:hAnsi="Times New Roman"/>
                <w:sz w:val="20"/>
              </w:rPr>
              <w:t xml:space="preserve">$0.070</w:t>
            </w:r>
          </w:p>
        </w:tc>
        <w:tc>
          <w:tcPr>
            <w:tcW w:w="972" w:type="dxa"/>
            <w:vAlign w:val="top"/>
          </w:tcPr>
          <w:p>
            <w:pPr>
              <w:spacing w:before="0" w:after="0" w:line="408" w:lineRule="exact"/>
              <w:ind w:left="0" w:right="0" w:firstLine="0"/>
              <w:jc w:val="left"/>
            </w:pPr>
            <w:r>
              <w:rPr>
                <w:rFonts w:ascii="Times New Roman" w:hAnsi="Times New Roman"/>
                <w:sz w:val="20"/>
              </w:rPr>
              <w:t xml:space="preserve">$0.025</w:t>
            </w:r>
          </w:p>
        </w:tc>
      </w:tr>
      <w:tr>
        <w:tc>
          <w:tcPr>
            <w:tcW w:w="972" w:type="dxa"/>
            <w:vAlign w:val="top"/>
          </w:tcPr>
          <w:p>
            <w:pPr>
              <w:spacing w:before="0" w:after="0" w:line="408" w:lineRule="exact"/>
              <w:ind w:left="0" w:right="0" w:firstLine="0"/>
              <w:jc w:val="left"/>
            </w:pPr>
            <w:r>
              <w:rPr>
                <w:rFonts w:ascii="Times New Roman" w:hAnsi="Times New Roman"/>
                <w:sz w:val="20"/>
              </w:rPr>
              <w:t xml:space="preserve">2019</w:t>
            </w:r>
          </w:p>
        </w:tc>
        <w:tc>
          <w:tcPr>
            <w:tcW w:w="972" w:type="dxa"/>
            <w:vAlign w:val="top"/>
          </w:tcPr>
          <w:p>
            <w:pPr>
              <w:spacing w:before="0" w:after="0" w:line="408" w:lineRule="exact"/>
              <w:ind w:left="0" w:right="0" w:firstLine="0"/>
              <w:jc w:val="left"/>
            </w:pPr>
            <w:r>
              <w:rPr>
                <w:rFonts w:ascii="Times New Roman" w:hAnsi="Times New Roman"/>
                <w:sz w:val="20"/>
              </w:rPr>
              <w:t xml:space="preserve">$0.085</w:t>
            </w:r>
          </w:p>
        </w:tc>
        <w:tc>
          <w:tcPr>
            <w:tcW w:w="972" w:type="dxa"/>
            <w:vAlign w:val="top"/>
          </w:tcPr>
          <w:p>
            <w:pPr>
              <w:spacing w:before="0" w:after="0" w:line="408" w:lineRule="exact"/>
              <w:ind w:left="0" w:right="0" w:firstLine="0"/>
              <w:jc w:val="left"/>
            </w:pPr>
            <w:r>
              <w:rPr>
                <w:rFonts w:ascii="Times New Roman" w:hAnsi="Times New Roman"/>
                <w:sz w:val="20"/>
              </w:rPr>
              <w:t xml:space="preserve">$0.055</w:t>
            </w:r>
          </w:p>
        </w:tc>
        <w:tc>
          <w:tcPr>
            <w:tcW w:w="972" w:type="dxa"/>
            <w:vAlign w:val="top"/>
          </w:tcPr>
          <w:p>
            <w:pPr>
              <w:spacing w:before="0" w:after="0" w:line="408" w:lineRule="exact"/>
              <w:ind w:left="0" w:right="0" w:firstLine="0"/>
              <w:jc w:val="left"/>
            </w:pPr>
            <w:r>
              <w:rPr>
                <w:rFonts w:ascii="Times New Roman" w:hAnsi="Times New Roman"/>
                <w:sz w:val="20"/>
              </w:rPr>
              <w:t xml:space="preserve">$0.045</w:t>
            </w:r>
          </w:p>
        </w:tc>
        <w:tc>
          <w:tcPr>
            <w:tcW w:w="972" w:type="dxa"/>
            <w:vAlign w:val="top"/>
          </w:tcPr>
          <w:p>
            <w:pPr>
              <w:spacing w:before="0" w:after="0" w:line="408" w:lineRule="exact"/>
              <w:ind w:left="0" w:right="0" w:firstLine="0"/>
              <w:jc w:val="left"/>
            </w:pPr>
            <w:r>
              <w:rPr>
                <w:rFonts w:ascii="Times New Roman" w:hAnsi="Times New Roman"/>
                <w:sz w:val="20"/>
              </w:rPr>
              <w:t xml:space="preserve">$0.010</w:t>
            </w:r>
          </w:p>
        </w:tc>
      </w:tr>
      <w:tr>
        <w:tc>
          <w:tcPr>
            <w:tcW w:w="972" w:type="dxa"/>
            <w:vAlign w:val="top"/>
          </w:tcPr>
          <w:p>
            <w:pPr>
              <w:spacing w:before="0" w:after="0" w:line="408" w:lineRule="exact"/>
              <w:ind w:left="0" w:right="0" w:firstLine="0"/>
              <w:jc w:val="left"/>
            </w:pPr>
            <w:r>
              <w:rPr>
                <w:rFonts w:ascii="Times New Roman" w:hAnsi="Times New Roman"/>
                <w:sz w:val="20"/>
              </w:rPr>
              <w:t xml:space="preserve">2020</w:t>
            </w:r>
          </w:p>
        </w:tc>
        <w:tc>
          <w:tcPr>
            <w:tcW w:w="972" w:type="dxa"/>
            <w:vAlign w:val="top"/>
          </w:tcPr>
          <w:p>
            <w:pPr>
              <w:spacing w:before="0" w:after="0" w:line="408" w:lineRule="exact"/>
              <w:ind w:left="0" w:right="0" w:firstLine="0"/>
              <w:jc w:val="left"/>
            </w:pPr>
            <w:r>
              <w:rPr>
                <w:rFonts w:ascii="Times New Roman" w:hAnsi="Times New Roman"/>
                <w:sz w:val="20"/>
              </w:rPr>
              <w:t xml:space="preserve">$0.060</w:t>
            </w:r>
          </w:p>
        </w:tc>
        <w:tc>
          <w:tcPr>
            <w:tcW w:w="972" w:type="dxa"/>
            <w:vAlign w:val="top"/>
          </w:tcPr>
          <w:p>
            <w:pPr>
              <w:spacing w:before="0" w:after="0" w:line="408" w:lineRule="exact"/>
              <w:ind w:left="0" w:right="0" w:firstLine="0"/>
              <w:jc w:val="left"/>
            </w:pPr>
            <w:r>
              <w:rPr>
                <w:rFonts w:ascii="Times New Roman" w:hAnsi="Times New Roman"/>
                <w:sz w:val="20"/>
              </w:rPr>
              <w:t xml:space="preserve">$0.040</w:t>
            </w:r>
          </w:p>
        </w:tc>
        <w:tc>
          <w:tcPr>
            <w:tcW w:w="972" w:type="dxa"/>
            <w:vAlign w:val="top"/>
          </w:tcPr>
          <w:p>
            <w:pPr>
              <w:spacing w:before="0" w:after="0" w:line="408" w:lineRule="exact"/>
              <w:ind w:left="0" w:right="0" w:firstLine="0"/>
              <w:jc w:val="left"/>
            </w:pPr>
            <w:r>
              <w:rPr>
                <w:rFonts w:ascii="Times New Roman" w:hAnsi="Times New Roman"/>
                <w:sz w:val="20"/>
              </w:rPr>
              <w:t xml:space="preserve">$0.020</w:t>
            </w:r>
          </w:p>
        </w:tc>
        <w:tc>
          <w:tcPr>
            <w:tcW w:w="972" w:type="dxa"/>
            <w:vAlign w:val="top"/>
          </w:tcPr>
          <w:p>
            <w:pPr>
              <w:spacing w:before="0" w:after="0" w:line="408" w:lineRule="exact"/>
              <w:ind w:left="0" w:right="0" w:firstLine="0"/>
              <w:jc w:val="left"/>
            </w:pPr>
            <w:r>
              <w:rPr>
                <w:rFonts w:ascii="Times New Roman" w:hAnsi="Times New Roman"/>
                <w:sz w:val="20"/>
              </w:rPr>
              <w:t xml:space="preserve">$0.000</w:t>
            </w:r>
          </w:p>
        </w:tc>
      </w:tr>
    </w:tbl>
    <w:p>
      <w:pPr>
        <w:spacing w:before="0" w:after="0" w:line="408" w:lineRule="exact"/>
        <w:ind w:left="0" w:right="0" w:firstLine="576"/>
        <w:jc w:val="left"/>
      </w:pPr>
      <w:r>
        <w:rPr/>
        <w:t xml:space="preserve">(d) For purposes of this section, the Washington State University energy program must define when a renewable energy system commences operation.</w:t>
      </w:r>
    </w:p>
    <w:p>
      <w:pPr>
        <w:spacing w:before="0" w:after="0" w:line="408" w:lineRule="exact"/>
        <w:ind w:left="0" w:right="0" w:firstLine="576"/>
        <w:jc w:val="left"/>
      </w:pPr>
      <w:r>
        <w:rPr/>
        <w:t xml:space="preserve">(12) The Washington State University energy program must cease to issue new certifications:</w:t>
      </w:r>
    </w:p>
    <w:p>
      <w:pPr>
        <w:spacing w:before="0" w:after="0" w:line="408" w:lineRule="exact"/>
        <w:ind w:left="0" w:right="0" w:firstLine="576"/>
        <w:jc w:val="left"/>
      </w:pPr>
      <w:r>
        <w:rPr/>
        <w:t xml:space="preserve">(a) For leased energy systems in any fiscal year that twenty-five percent of available funds for credit under RCW 82.16.130 have been allocated to leased energy systems;</w:t>
      </w:r>
    </w:p>
    <w:p>
      <w:pPr>
        <w:spacing w:before="0" w:after="0" w:line="408" w:lineRule="exact"/>
        <w:ind w:left="0" w:right="0" w:firstLine="576"/>
        <w:jc w:val="left"/>
      </w:pPr>
      <w:r>
        <w:rPr/>
        <w:t xml:space="preserve">(b) For community solar projects in any fiscal year that twenty-five percent of available funds for credit under RCW 82.16.130 have been allocated to community solar projects; and</w:t>
      </w:r>
    </w:p>
    <w:p>
      <w:pPr>
        <w:spacing w:before="0" w:after="0" w:line="408" w:lineRule="exact"/>
        <w:ind w:left="0" w:right="0" w:firstLine="576"/>
        <w:jc w:val="left"/>
      </w:pPr>
      <w:r>
        <w:rPr/>
        <w:t xml:space="preserve">(c) For any additional renewable energy system served by a utility if certification is likely to result in incentive payments by that utility exceeding the utility's total public utility tax liability.</w:t>
      </w:r>
    </w:p>
    <w:p>
      <w:pPr>
        <w:spacing w:before="0" w:after="0" w:line="408" w:lineRule="exact"/>
        <w:ind w:left="0" w:right="0" w:firstLine="576"/>
        <w:jc w:val="left"/>
      </w:pPr>
      <w:r>
        <w:rPr/>
        <w:t xml:space="preserve">(13) If the Washington State University energy program ceases issuing new certifications during a fiscal year or biennium as provided in subsection (12) of this section, in the following fiscal year or biennium, or when additional funds are available for credit such that the thresholds described in subsection (12) of this section are no longer exceeded, the Washington State University energy program shall resume issuing new certifications using a lottery or other method of awarding certifications that results in equitable and orderly allocation of benefits to applicants.</w:t>
      </w:r>
    </w:p>
    <w:p>
      <w:pPr>
        <w:spacing w:before="0" w:after="0" w:line="408" w:lineRule="exact"/>
        <w:ind w:left="0" w:right="0" w:firstLine="576"/>
        <w:jc w:val="left"/>
      </w:pPr>
      <w:r>
        <w:rPr/>
        <w:t xml:space="preserve">(14) In order to begin to receive annual incentive payments, a person who has been issued a certification for the incentive as provided in subsection (9) of this section must submit the certification to the utility serving the situs of the system.</w:t>
      </w:r>
    </w:p>
    <w:p>
      <w:pPr>
        <w:spacing w:before="0" w:after="0" w:line="408" w:lineRule="exact"/>
        <w:ind w:left="0" w:right="0" w:firstLine="576"/>
        <w:jc w:val="left"/>
      </w:pPr>
      <w:r>
        <w:rPr/>
        <w:t xml:space="preserve">(15) The Washington State University energy program must establish a list of equipment that is eligible for the bonus rates described in subsection (11) of this section. The Washington State University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(16) The manufacturer of a renewable energy system component subject to a bonus rate under subsection (11) of this section may apply to the Washington State University energy program to receive a determination of eligibility for such bonus rates. The Washington State University energy program must publish a list of components that have been certified as eligible for such bonus rates. The Washington State University energy program may determine smart inverter eligibility by reference to standards established by the public utilities commissions in the western electricity coordinating council region as in effect on the effective date of this section. The Washington State University energy program may assess an equipment certification fee to recover its costs.</w:t>
      </w:r>
    </w:p>
    <w:p>
      <w:pPr>
        <w:spacing w:before="0" w:after="0" w:line="408" w:lineRule="exact"/>
        <w:ind w:left="0" w:right="0" w:firstLine="576"/>
        <w:jc w:val="left"/>
      </w:pPr>
      <w:r>
        <w:rPr/>
        <w:t xml:space="preserve">(17) Annually, the applicant or the utility, at the utility's option, must electronically report to the Washington State University energy program the amount of gross kilowatt-hours generated by each renewable energy system since the prior annual report.</w:t>
      </w:r>
    </w:p>
    <w:p>
      <w:pPr>
        <w:spacing w:before="0" w:after="0" w:line="408" w:lineRule="exact"/>
        <w:ind w:left="0" w:right="0" w:firstLine="576"/>
        <w:jc w:val="left"/>
      </w:pPr>
      <w:r>
        <w:rPr/>
        <w:t xml:space="preserve">(18)(a) The Washington State University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energy program, a utility may opt to directly perform this calculation and provide its results to the Washington State University energy program.</w:t>
      </w:r>
    </w:p>
    <w:p>
      <w:pPr>
        <w:spacing w:before="0" w:after="0" w:line="408" w:lineRule="exact"/>
        <w:ind w:left="0" w:right="0" w:firstLine="576"/>
        <w:jc w:val="left"/>
      </w:pPr>
      <w:r>
        <w:rPr/>
        <w:t xml:space="preserve">(b) No person is eligible for incentive payments under this section for electricity generated in excess of the estimated kilowatt-hours to be consumed annually at the metered location, except in the case of a community solar project.</w:t>
      </w:r>
    </w:p>
    <w:p>
      <w:pPr>
        <w:spacing w:before="0" w:after="0" w:line="408" w:lineRule="exact"/>
        <w:ind w:left="0" w:right="0" w:firstLine="576"/>
        <w:jc w:val="left"/>
      </w:pPr>
      <w:r>
        <w:rPr/>
        <w:t xml:space="preserve">(c) If the Washington State University energy program identifies an abnormal production claim, it must notify the utility and the applicant and recommend withholding payment until the applicant has demonstrated that the production claim is accurate and valid.</w:t>
      </w:r>
    </w:p>
    <w:p>
      <w:pPr>
        <w:spacing w:before="0" w:after="0" w:line="408" w:lineRule="exact"/>
        <w:ind w:left="0" w:right="0" w:firstLine="576"/>
        <w:jc w:val="left"/>
      </w:pPr>
      <w:r>
        <w:rPr/>
        <w:t xml:space="preserve">(19) Within sixty days of receipt of the information required under subsection (18)(a) of this section from the Washington State University energy program, the utility must issue the incentive payment.</w:t>
      </w:r>
    </w:p>
    <w:p>
      <w:pPr>
        <w:spacing w:before="0" w:after="0" w:line="408" w:lineRule="exact"/>
        <w:ind w:left="0" w:right="0" w:firstLine="576"/>
        <w:jc w:val="left"/>
      </w:pPr>
      <w:r>
        <w:rPr/>
        <w:t xml:space="preserve">(20) The Washington State University energy program must post on its web site and update quarterly a report, by utility, of:</w:t>
      </w:r>
    </w:p>
    <w:p>
      <w:pPr>
        <w:spacing w:before="0" w:after="0" w:line="408" w:lineRule="exact"/>
        <w:ind w:left="0" w:right="0" w:firstLine="576"/>
        <w:jc w:val="left"/>
      </w:pPr>
      <w:r>
        <w:rPr/>
        <w:t xml:space="preserve">(a) The certification limits for various system types and sizes established under subsection (12) of this section;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(21) Persons receiving incentive payments under this section must keep and preserve, for a period of five years, suitable records as may be necessary to determine the amount of incentive payments applied for and received. The Washington State University energy program may direct a utility to cease issuing incentive payments if the records are not made available for examination upon request. A utility receiving such a directive is not liable to the recipient for any incentive payments or other damages for ceasing payments pursuant to the directive.</w:t>
      </w:r>
    </w:p>
    <w:p>
      <w:pPr>
        <w:spacing w:before="0" w:after="0" w:line="408" w:lineRule="exact"/>
        <w:ind w:left="0" w:right="0" w:firstLine="576"/>
        <w:jc w:val="left"/>
      </w:pPr>
      <w:r>
        <w:rPr/>
        <w:t xml:space="preserve">(22) The nonpower attributes of the renewable energy system belong to the customer who hosts the system or, in the case of a community solar project, the participant, unless, in the case of a utility-owned system, the contract clearly specifies that the attributes will be retained by the utility.</w:t>
      </w:r>
    </w:p>
    <w:p>
      <w:pPr>
        <w:spacing w:before="0" w:after="0" w:line="408" w:lineRule="exact"/>
        <w:ind w:left="0" w:right="0" w:firstLine="576"/>
        <w:jc w:val="left"/>
      </w:pPr>
      <w:r>
        <w:rPr/>
        <w:t xml:space="preserve">(23) All lists, technical specifications, determinations, and guidelines developed under this section must be made publicly available online.</w:t>
      </w:r>
    </w:p>
    <w:p>
      <w:pPr>
        <w:spacing w:before="0" w:after="0" w:line="408" w:lineRule="exact"/>
        <w:ind w:left="0" w:right="0" w:firstLine="576"/>
        <w:jc w:val="left"/>
      </w:pPr>
      <w:r>
        <w:rPr/>
        <w:t xml:space="preserve">(24) No certification may be issued under this section after June 30, 2020.</w:t>
      </w:r>
    </w:p>
    <w:p>
      <w:pPr>
        <w:spacing w:before="0" w:after="0" w:line="408" w:lineRule="exact"/>
        <w:ind w:left="0" w:right="0" w:firstLine="576"/>
        <w:jc w:val="left"/>
      </w:pPr>
      <w:r>
        <w:rPr/>
        <w:t xml:space="preserve">(25) The Washington State University energy program may establish fees to recover all or a portion of its costs in administering the incentive program. At a minimum, a one-time fee must be assessed to each participant to recover any ongoing costs incurred for tracking the power production from certified systems, including any software costs incurred in collecting the information described in subsection (8)(a)(iv) of this section. This fee must be assessed in direct proportion to the amount of incentive payments that a participant is certified to receive, and no participant may be assessed a fee that exceeds ten percent of the cumulative incentive payments certified under this section and RCW 82.16.120.</w:t>
      </w:r>
    </w:p>
    <w:p>
      <w:pPr>
        <w:spacing w:before="0" w:after="0" w:line="408" w:lineRule="exact"/>
        <w:ind w:left="0" w:right="0" w:firstLine="576"/>
        <w:jc w:val="left"/>
      </w:pPr>
      <w:r>
        <w:rPr/>
        <w:t xml:space="preserve">(26) The Washington State University energy program may, through a public process, develop any program requirements and policies necessary for the administration of this section, RCW 82.16.120, and section 6 of this act. The department of revenue is authorized, in consultation with the Washington State University energy program, to adopt any rules necessary for administration of the program.</w:t>
      </w:r>
    </w:p>
    <w:p>
      <w:pPr>
        <w:spacing w:before="0" w:after="0" w:line="408" w:lineRule="exact"/>
        <w:ind w:left="0" w:right="0" w:firstLine="576"/>
        <w:jc w:val="left"/>
      </w:pPr>
      <w:r>
        <w:rPr/>
        <w:t xml:space="preserve">(27)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installation company, competitive electric service provider, or electric utility providing a renewable energy system eligible for an incentive payment under section 5 of this act must provide the entity applying under section 5(1) of this act a uniform statement of essential terms. The uniform statement must be in a format established by the Washington State University extension energy program, which must consult with the attorney general, the utilities and transportation commission, and representatives of utilities in establishing the uniform statement.</w:t>
      </w:r>
    </w:p>
    <w:p>
      <w:pPr>
        <w:spacing w:before="0" w:after="0" w:line="408" w:lineRule="exact"/>
        <w:ind w:left="0" w:right="0" w:firstLine="576"/>
        <w:jc w:val="left"/>
      </w:pPr>
      <w:r>
        <w:rPr/>
        <w:t xml:space="preserve">(2) The uniform statement must be provided prior to execution of the consumer contract and must be signed by the customer.</w:t>
      </w:r>
    </w:p>
    <w:p>
      <w:pPr>
        <w:spacing w:before="0" w:after="0" w:line="408" w:lineRule="exact"/>
        <w:ind w:left="0" w:right="0" w:firstLine="576"/>
        <w:jc w:val="left"/>
      </w:pPr>
      <w:r>
        <w:rPr/>
        <w:t xml:space="preserve">(3) The uniform statement must include information regarding the respective rights and responsibilities of all parties involved, and include such terms as reasonably necessary for the customer to understand and make an informed decision to enter the consumer contract. Such information must include the following:</w:t>
      </w:r>
    </w:p>
    <w:p>
      <w:pPr>
        <w:spacing w:before="0" w:after="0" w:line="408" w:lineRule="exact"/>
        <w:ind w:left="0" w:right="0" w:firstLine="576"/>
        <w:jc w:val="left"/>
      </w:pPr>
      <w:r>
        <w:rPr/>
        <w:t xml:space="preserve">(a) Information about the system's performance, such as a monthly or annual production performance guarantee or range of performance and system size and capacity;</w:t>
      </w:r>
    </w:p>
    <w:p>
      <w:pPr>
        <w:spacing w:before="0" w:after="0" w:line="408" w:lineRule="exact"/>
        <w:ind w:left="0" w:right="0" w:firstLine="576"/>
        <w:jc w:val="left"/>
      </w:pPr>
      <w:r>
        <w:rPr/>
        <w:t xml:space="preserve">(b) Customer costs, including the amount of any down payment required, periodic payments, or cost per kilowatt-hour of electricity produced, and any built-in escalation rates or schedule of payment amounts;</w:t>
      </w:r>
    </w:p>
    <w:p>
      <w:pPr>
        <w:spacing w:before="0" w:after="0" w:line="408" w:lineRule="exact"/>
        <w:ind w:left="0" w:right="0" w:firstLine="576"/>
        <w:jc w:val="left"/>
      </w:pPr>
      <w:r>
        <w:rPr/>
        <w:t xml:space="preserve">(c) Length of contract term and total expenditure or range of expenditures, or the effective annual interest rate over the term of the agreement; and</w:t>
      </w:r>
    </w:p>
    <w:p>
      <w:pPr>
        <w:spacing w:before="0" w:after="0" w:line="408" w:lineRule="exact"/>
        <w:ind w:left="0" w:right="0" w:firstLine="576"/>
        <w:jc w:val="left"/>
      </w:pPr>
      <w:r>
        <w:rPr/>
        <w:t xml:space="preserve">(d) The customer's rights and responsibilities when selling a renewable energy system as part of a sale of real property, including responsibility for system removal costs, disposal of the system, and any remaining periodic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in consultation with the joint committee on energy supply and energy conservation, must competitively select an independent consultant to conduct a two phase "smart plan for the smart grid" study. The consultant must have experience working on advanced grid infrastructure demonstration projects or otherwise demonstrate familiarity with utility applications, technology, customer engagement strategies, and associated analytical tools that facilitate situational awareness in the distribution grid for purposes of increasing the efficiency, reliability, and sustainability of the distribution grid.</w:t>
      </w:r>
      <w:r>
        <w:rPr/>
        <w:t xml:space="preserve"> Prior to selection, the office of financial management must consult with investor-owned utilities, consumer-owned utility stakeholders, and the members of the joint committee on energy supply and energy conservation.</w:t>
      </w:r>
    </w:p>
    <w:p>
      <w:pPr>
        <w:spacing w:before="0" w:after="0" w:line="408" w:lineRule="exact"/>
        <w:ind w:left="0" w:right="0" w:firstLine="576"/>
        <w:jc w:val="left"/>
      </w:pPr>
      <w:r>
        <w:rPr/>
        <w:t xml:space="preserve">(2) The consultant must facilitate a dialogue with stakeholders, for example by convening a blue ribbon panel, to obtain input for both phases of the study. Stakeholders must include utility representatives, state and local governmental agencies, consumer advocates, industry leaders, and academic experts.</w:t>
      </w:r>
    </w:p>
    <w:p>
      <w:pPr>
        <w:spacing w:before="0" w:after="0" w:line="408" w:lineRule="exact"/>
        <w:ind w:left="0" w:right="0" w:firstLine="576"/>
        <w:jc w:val="left"/>
      </w:pPr>
      <w:r>
        <w:rPr/>
        <w:t xml:space="preserve">(a) In the first phase, the consultant must review distributed energy resources laws and policies in Washington, the status of existing and proposed efforts of state utilities to ensure cost-effective integration of such resources, and best practices emerging nationally and internationally to plan for and account for the costs and benefits of distributed energy resource integration.</w:t>
      </w:r>
    </w:p>
    <w:p>
      <w:pPr>
        <w:spacing w:before="0" w:after="0" w:line="408" w:lineRule="exact"/>
        <w:ind w:left="0" w:right="0" w:firstLine="576"/>
        <w:jc w:val="left"/>
      </w:pPr>
      <w:r>
        <w:rPr/>
        <w:t xml:space="preserve">(b) The consultant must issue a report to the legislature and the governor by December 18, 2016, identifying pilot projects for maximizing cost-effective integration of distributed energy resources in Washington, identifying potential sources of funding for such pilot projects, and recommending tools that can assist utilities in obtaining a more dynamic and situational view of consumer activities on the distribution grid and in managing the effects of those activities.</w:t>
      </w:r>
    </w:p>
    <w:p>
      <w:pPr>
        <w:spacing w:before="0" w:after="0" w:line="408" w:lineRule="exact"/>
        <w:ind w:left="0" w:right="0" w:firstLine="576"/>
        <w:jc w:val="left"/>
      </w:pPr>
      <w:r>
        <w:rPr/>
        <w:t xml:space="preserve">(c) In the second phase, prior to December 18, 2017, the consultant shall provide a report to the legislature and the governor reviewing any pilot projects that have been implemented and providing recommendations of policies and incentives that could best facilitate cost-effective integration of distributed energy resources by Washington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5 of this act. This performance statement is only intended to be used for subsequent evaluation of the tax preference and incentives. It is not intended to create a private right of action by any party or be used to determine eligibility for preferential tax treatment or for certification under section 14 of this act.</w:t>
      </w:r>
    </w:p>
    <w:p>
      <w:pPr>
        <w:spacing w:before="0" w:after="0" w:line="408" w:lineRule="exact"/>
        <w:ind w:left="0" w:right="0" w:firstLine="576"/>
        <w:jc w:val="left"/>
      </w:pPr>
      <w:r>
        <w:rPr/>
        <w:t xml:space="preserve">(2) The legislature categorizes the tax preference and incentive created in section 5 of this act as intended to induce certain designated behavior by taxpayers, as indicated in RCW 82.32.808(2)(a), and to create or retain jobs, as indicated in RCW 82.32.808(2)(c).</w:t>
      </w:r>
    </w:p>
    <w:p>
      <w:pPr>
        <w:spacing w:before="0" w:after="0" w:line="408" w:lineRule="exact"/>
        <w:ind w:left="0" w:right="0" w:firstLine="576"/>
        <w:jc w:val="left"/>
      </w:pPr>
      <w:r>
        <w:rPr/>
        <w:t xml:space="preserve">(3) The legislature's public policy objectives are:</w:t>
      </w:r>
    </w:p>
    <w:p>
      <w:pPr>
        <w:spacing w:before="0" w:after="0" w:line="408" w:lineRule="exact"/>
        <w:ind w:left="0" w:right="0" w:firstLine="576"/>
        <w:jc w:val="left"/>
      </w:pPr>
      <w:r>
        <w:rPr/>
        <w:t xml:space="preserve">(a) To increase and improve utilization of clean energy technology in Washington; and</w:t>
      </w:r>
    </w:p>
    <w:p>
      <w:pPr>
        <w:spacing w:before="0" w:after="0" w:line="408" w:lineRule="exact"/>
        <w:ind w:left="0" w:right="0" w:firstLine="576"/>
        <w:jc w:val="left"/>
      </w:pPr>
      <w:r>
        <w:rPr/>
        <w:t xml:space="preserve">(b) To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5 of this act and RCW 82.16.130 in order to reduce the costs associated with installing and operating clean energy systems by persons or entities receiving the incentive and to reduce the costs for providing those incentives by entities receiving a credit under RCW 82.16.130, thereby increasing the ability for clean energy technology firms to access the energy market and expand their operations in Washington and increasing the number of jobs in the clean energy technology industry in Washington.</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5 of this act and RCW 82.16.130. The legislature intends for the legislative auditor to determine that the incentive has achieved its desired outcome and no extension of the tax preference is necessary if the following performance milestones are met:</w:t>
      </w:r>
    </w:p>
    <w:p>
      <w:pPr>
        <w:spacing w:before="0" w:after="0" w:line="408" w:lineRule="exact"/>
        <w:ind w:left="0" w:right="0" w:firstLine="576"/>
        <w:jc w:val="left"/>
      </w:pPr>
      <w:r>
        <w:rPr/>
        <w:t xml:space="preserve">(a) Installation of one hundred sixty-five megawatts of solar photovoltaic capacity in Washington by 2020;</w:t>
      </w:r>
    </w:p>
    <w:p>
      <w:pPr>
        <w:spacing w:before="0" w:after="0" w:line="408" w:lineRule="exact"/>
        <w:ind w:left="0" w:right="0" w:firstLine="576"/>
        <w:jc w:val="left"/>
      </w:pPr>
      <w:r>
        <w:rPr/>
        <w:t xml:space="preserve">(b) Improved cost-effectiveness, as measured by a shorter payback period for a consumer who installs a residential solar energy system in Washington in 2019, taking into account applicable state and federal incentives in 2019, as compared to the payback period in 2014, and taking into account applicable state and federal incentives in effect in 2014;</w:t>
      </w:r>
    </w:p>
    <w:p>
      <w:pPr>
        <w:spacing w:before="0" w:after="0" w:line="408" w:lineRule="exact"/>
        <w:ind w:left="0" w:right="0" w:firstLine="576"/>
        <w:jc w:val="left"/>
      </w:pPr>
      <w:r>
        <w:rPr/>
        <w:t xml:space="preserve">(c) Growth of solar-related employment, as evidenced by an increase in the total number and per capita rate of solar energy-related jobs in Washington, as reported by a relevant trade association in the state and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(d) Creation of a system for capturing data about installed solar systems that can be transferred to utilities, so that utilities can see solar systems as a fleet and manage them with other generation resources; and</w:t>
      </w:r>
    </w:p>
    <w:p>
      <w:pPr>
        <w:spacing w:before="0" w:after="0" w:line="408" w:lineRule="exact"/>
        <w:ind w:left="0" w:right="0" w:firstLine="576"/>
        <w:jc w:val="left"/>
      </w:pPr>
      <w:r>
        <w:rPr/>
        <w:t xml:space="preserve">(e) Creation and propagation of tools for utilities that give them greater situational viewability of what customers' capital investments are being made behind the electricity meter and better understanding of how such investments might fit together efficiently into a ten-year distributed energy resource plan.</w:t>
      </w:r>
    </w:p>
    <w:p>
      <w:pPr>
        <w:spacing w:before="0" w:after="0" w:line="408" w:lineRule="exact"/>
        <w:ind w:left="0" w:right="0" w:firstLine="576"/>
        <w:jc w:val="left"/>
      </w:pPr>
      <w:r>
        <w:rPr/>
        <w:t xml:space="preserve">(6) The legislative auditor must include in its 2019 report to the legislature an overview of market conditions for solar energy system installation in the state and an analysis of how expiration of the tax preference provided in section 5 of this act and RCW 82.16.130 may affect the continued development of a sustainable solar industry in Washington. The legislative auditor should consider the levelized cost of solar energy systems installed in 2019, the payback period for such systems for a person or entity installing the system, with or without the solar production incentive, and the average contribution of the state of Washington to the total levelized cost of a solar energy system for a person benefiting from the tax preference, as compared to the average contribution of other states with comparable insolation levels that provide solar production tax incentives.</w:t>
      </w:r>
    </w:p>
    <w:p>
      <w:pPr>
        <w:spacing w:before="0" w:after="0" w:line="408" w:lineRule="exact"/>
        <w:ind w:left="0" w:right="0" w:firstLine="576"/>
        <w:jc w:val="left"/>
      </w:pPr>
      <w:r>
        <w:rPr/>
        <w:t xml:space="preserve">(7) In order to obtain the data necessary to perform the review, the joint legislative audit and review committee may refer to the data collected by the Washington State University extension energy program and the department under the application and certification process established in section 5 of this act, and may obtain employment data from the employment security department.</w:t>
      </w:r>
    </w:p>
    <w:p>
      <w:pPr>
        <w:spacing w:before="0" w:after="0" w:line="408" w:lineRule="exact"/>
        <w:ind w:left="0" w:right="0" w:firstLine="576"/>
        <w:jc w:val="left"/>
      </w:pPr>
      <w:r>
        <w:rPr/>
        <w:t xml:space="preserve">(8) The Washington State University extension energy program is encouraged to collect, through the application process, data from persons receiving the incentive payments created in section 5 of this act, as necessary, and may collect data from other interested persons to report on progress toward achieving the performance milestones listed in subsection (5) of this section.</w:t>
      </w:r>
    </w:p>
    <w:p>
      <w:pPr>
        <w:spacing w:before="0" w:after="0" w:line="408" w:lineRule="exact"/>
        <w:ind w:left="0" w:right="0" w:firstLine="576"/>
        <w:jc w:val="left"/>
      </w:pPr>
      <w:r>
        <w:rPr/>
        <w:t xml:space="preserve">(9) All recipients of tax credits or incentive payments awarded under this chapter must provide any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95N</w:t>
      </w:r>
      <w:r>
        <w:rPr/>
        <w:t xml:space="preserve"> RCW</w:t>
      </w:r>
      <w:r>
        <w:rPr/>
        <w:t xml:space="preserve"> to read as follows:</w:t>
      </w:r>
    </w:p>
    <w:p>
      <w:pPr>
        <w:spacing w:before="0" w:after="0" w:line="408" w:lineRule="exact"/>
        <w:ind w:left="0" w:right="0" w:firstLine="576"/>
        <w:jc w:val="left"/>
      </w:pPr>
      <w:r>
        <w:rPr/>
        <w:t xml:space="preserve">(1) The legislature finds that a convenient, safe, and environmentally sound system for the decommissioning and recycling of solar modules must be established. The legislature further finds that the responsibility for this system must be shared among all stakeholders, with manufacturers financing the decommissioning and recycling system.</w:t>
      </w:r>
    </w:p>
    <w:p>
      <w:pPr>
        <w:spacing w:before="0" w:after="0" w:line="408" w:lineRule="exact"/>
        <w:ind w:left="0" w:right="0" w:firstLine="576"/>
        <w:jc w:val="left"/>
      </w:pPr>
      <w:r>
        <w:rPr/>
        <w:t xml:space="preserve">(2) The department shall establish a process for stakeholders to make recommendations for a program for the decommissioning and recycling of solar modules and the financing of such activities by an authority on behalf of participating manufacturers. Such a program may be modeled on electronic product recycling and manufacturer participation through the Washington materials management and financing authority created under RCW 70.95N.280.</w:t>
      </w:r>
    </w:p>
    <w:p>
      <w:pPr>
        <w:spacing w:before="0" w:after="0" w:line="408" w:lineRule="exact"/>
        <w:ind w:left="0" w:right="0" w:firstLine="576"/>
        <w:jc w:val="left"/>
      </w:pPr>
      <w:r>
        <w:rPr/>
        <w:t xml:space="preserve">(3) In order for a solar energy system to be eligible for incentive payments under section 5 of this act, at least one manufacturer of the solar module must be registered with the department as a participant in the solar module recycling program. The department must establish and implement a registration process by December 1, 2015.</w:t>
      </w:r>
    </w:p>
    <w:p>
      <w:pPr>
        <w:spacing w:before="0" w:after="0" w:line="408" w:lineRule="exact"/>
        <w:ind w:left="0" w:right="0" w:firstLine="576"/>
        <w:jc w:val="left"/>
      </w:pPr>
      <w:r>
        <w:rPr/>
        <w:t xml:space="preserve">(4) Registration requirements in calendar year 2015 are limited to paying any fee established by the department under RCW 70.95N.230 to cover the costs of administering this section.</w:t>
      </w:r>
    </w:p>
    <w:p>
      <w:pPr>
        <w:spacing w:before="0" w:after="0" w:line="408" w:lineRule="exact"/>
        <w:ind w:left="0" w:right="0" w:firstLine="576"/>
        <w:jc w:val="left"/>
      </w:pPr>
      <w:r>
        <w:rPr/>
        <w:t xml:space="preserve">(5) Prior to December 1, 2015, the department must complete the stakeholder process and report recommendations to the legislature and the governor for how a solar module recycling program should be structured and enforced.</w:t>
      </w:r>
    </w:p>
    <w:p>
      <w:pPr>
        <w:spacing w:before="0" w:after="0" w:line="408" w:lineRule="exact"/>
        <w:ind w:left="0" w:right="0" w:firstLine="576"/>
        <w:jc w:val="left"/>
      </w:pPr>
      <w:r>
        <w:rPr/>
        <w:t xml:space="preserve">(6) For purposes of this section,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solar module under its own brand names for sale in or into this state;</w:t>
      </w:r>
    </w:p>
    <w:p>
      <w:pPr>
        <w:spacing w:before="0" w:after="0" w:line="408" w:lineRule="exact"/>
        <w:ind w:left="0" w:right="0" w:firstLine="576"/>
        <w:jc w:val="left"/>
      </w:pPr>
      <w:r>
        <w:rPr/>
        <w:t xml:space="preserve">(b)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(d) Manufactures or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(e)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(f) Sells at retail a solar module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Elects to assume the responsibility and register in lieu of a manufacturer as defined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provide consumers greater access to renewable energy systems owned by third parties and utilities but provided to the consumer through a lease, power purchase agreement, or other contractual arrangement. Such access will help minimize the upfront costs of distributed generation, providing further opportunities for consumers to access the benefits of these systems.</w:t>
      </w:r>
    </w:p>
    <w:p>
      <w:pPr>
        <w:spacing w:before="0" w:after="0" w:line="408" w:lineRule="exact"/>
        <w:ind w:left="0" w:right="0" w:firstLine="576"/>
        <w:jc w:val="left"/>
      </w:pPr>
      <w:r>
        <w:rPr/>
        <w:t xml:space="preserve">(2) It is the intent of the legislature to provide for consumer protection of customers accessing renewable energy systems through a consumer contract, and to recognize and encourage electric utility efforts in being early adopters of programs that promote customers' energy independence.</w:t>
      </w:r>
    </w:p>
    <w:p>
      <w:pPr>
        <w:spacing w:before="0" w:after="0" w:line="408" w:lineRule="exact"/>
        <w:ind w:left="0" w:right="0" w:firstLine="576"/>
        <w:jc w:val="left"/>
      </w:pPr>
      <w:r>
        <w:rPr/>
        <w:t xml:space="preserve">(3) The legislature finds that access to distributed renewable energy systems installed on residential, commercial, and governmental real property facilitates energy independence by consumers.</w:t>
      </w:r>
    </w:p>
    <w:p>
      <w:pPr>
        <w:spacing w:before="0" w:after="0" w:line="408" w:lineRule="exact"/>
        <w:ind w:left="0" w:right="0" w:firstLine="576"/>
        <w:jc w:val="left"/>
      </w:pPr>
      <w:r>
        <w:rPr/>
        <w:t xml:space="preserve">(4) The legislature recognizes the importance of ensuring public safety and consumer protection with an appropriate level of regulation that still allows a competitive marketplace to develop, and for this reason the legislature confers authority to the Washington utilities and transportation commission to regulate as "competitive electrical companies" private third-party vendors who provide renewable energy systems directly to consumers through a consumer contract and affiliates of investor-owned utilities who invest company dollars to make these systems more widely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and sections 16 through 21 of this act unless the context clearly requires otherwise.</w:t>
      </w:r>
    </w:p>
    <w:p>
      <w:pPr>
        <w:spacing w:before="0" w:after="0" w:line="408" w:lineRule="exact"/>
        <w:ind w:left="0" w:right="0" w:firstLine="576"/>
        <w:jc w:val="left"/>
      </w:pPr>
      <w:r>
        <w:rPr/>
        <w:t xml:space="preserve">(1)(a) Except as specified in (b) of this subsection, "competitive electrical company" means an electrical company that owns a renewable energy system on property controlled by a customer and enters into an agreement with a customer to provide competitive electrical services.</w:t>
      </w:r>
    </w:p>
    <w:p>
      <w:pPr>
        <w:spacing w:before="0" w:after="0" w:line="408" w:lineRule="exact"/>
        <w:ind w:left="0" w:right="0" w:firstLine="576"/>
        <w:jc w:val="left"/>
      </w:pPr>
      <w:r>
        <w:rPr/>
        <w:t xml:space="preserve">(b) The following entities are not competitive electrical companies:</w:t>
      </w:r>
    </w:p>
    <w:p>
      <w:pPr>
        <w:spacing w:before="0" w:after="0" w:line="408" w:lineRule="exact"/>
        <w:ind w:left="0" w:right="0" w:firstLine="576"/>
        <w:jc w:val="left"/>
      </w:pPr>
      <w:r>
        <w:rPr/>
        <w:t xml:space="preserve">(i) Commercial lending institutions that are regulated by the department of financial institutions and provide loans for the purchase of renewable energy systems;</w:t>
      </w:r>
    </w:p>
    <w:p>
      <w:pPr>
        <w:spacing w:before="0" w:after="0" w:line="408" w:lineRule="exact"/>
        <w:ind w:left="0" w:right="0" w:firstLine="576"/>
        <w:jc w:val="left"/>
      </w:pPr>
      <w:r>
        <w:rPr/>
        <w:t xml:space="preserve">(ii) Companies engaged in retail sales of renewable energy equipment that are not otherwise engaged in business as a competitive electrical company; and</w:t>
      </w:r>
    </w:p>
    <w:p>
      <w:pPr>
        <w:spacing w:before="0" w:after="0" w:line="408" w:lineRule="exact"/>
        <w:ind w:left="0" w:right="0" w:firstLine="576"/>
        <w:jc w:val="left"/>
      </w:pPr>
      <w:r>
        <w:rPr/>
        <w:t xml:space="preserve">(iii) Electric utilities offering competitive electrical services to their customers or members in conjunction with other utility services.</w:t>
      </w:r>
    </w:p>
    <w:p>
      <w:pPr>
        <w:spacing w:before="0" w:after="0" w:line="408" w:lineRule="exact"/>
        <w:ind w:left="0" w:right="0" w:firstLine="576"/>
        <w:jc w:val="left"/>
      </w:pPr>
      <w:r>
        <w:rPr/>
        <w:t xml:space="preserve">(2) "Competitive electrical services" means the provision of electricity generated by a renewable energy system to the customer and may include other services associated with the use of a renewable energy system under a lease, power purchase agreement, loan, or other financial transaction. Such other services may include system monitoring and maintenance, warranty provisions, performance guarantees, and customer service.</w:t>
      </w:r>
    </w:p>
    <w:p>
      <w:pPr>
        <w:spacing w:before="0" w:after="0" w:line="408" w:lineRule="exact"/>
        <w:ind w:left="0" w:right="0" w:firstLine="576"/>
        <w:jc w:val="left"/>
      </w:pPr>
      <w:r>
        <w:rPr/>
        <w:t xml:space="preserve">(3) "Consumer contract" means the lease, power purchase agreement, loan, or other financial agreement between a competitive electrical company and a customer, by which the customer obtains a beneficial interest in, other than direct ownership of, a renewable energy system installed on the customer's side of the meter on property controlled by the customer.</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"Leased energy program" means a program developed by an electric utility to provide customers of the utility access to renewable energy systems through a consumer contract.</w:t>
      </w:r>
    </w:p>
    <w:p>
      <w:pPr>
        <w:spacing w:before="0" w:after="0" w:line="408" w:lineRule="exact"/>
        <w:ind w:left="0" w:right="0" w:firstLine="576"/>
        <w:jc w:val="left"/>
      </w:pPr>
      <w:r>
        <w:rPr/>
        <w:t xml:space="preserve">(6) "Leased energy system" means a renewable energy system that is located in Washington and installed on a utility customer's premises, where the renewable energy system is:</w:t>
      </w:r>
    </w:p>
    <w:p>
      <w:pPr>
        <w:spacing w:before="0" w:after="0" w:line="408" w:lineRule="exact"/>
        <w:ind w:left="0" w:right="0" w:firstLine="576"/>
        <w:jc w:val="left"/>
      </w:pPr>
      <w:r>
        <w:rPr/>
        <w:t xml:space="preserve">(a) Owned by a competitive electrical company that has a consumer contract with a customer of an electric utility for competitive electrical services; or</w:t>
      </w:r>
    </w:p>
    <w:p>
      <w:pPr>
        <w:spacing w:before="0" w:after="0" w:line="408" w:lineRule="exact"/>
        <w:ind w:left="0" w:right="0" w:firstLine="576"/>
        <w:jc w:val="left"/>
      </w:pPr>
      <w:r>
        <w:rPr/>
        <w:t xml:space="preserve">(b) Owned by an electric utility that has a contract with a customer of that electric utility to provide competitive electrical services.</w:t>
      </w:r>
    </w:p>
    <w:p>
      <w:pPr>
        <w:spacing w:before="0" w:after="0" w:line="408" w:lineRule="exact"/>
        <w:ind w:left="0" w:right="0" w:firstLine="576"/>
        <w:jc w:val="left"/>
      </w:pPr>
      <w:r>
        <w:rPr/>
        <w:t xml:space="preserve">(7) "Renewable energy system" means a net metering system, as defined in RCW 80.60.010, that generates renewable energy, as defined in RCW 80.60.010.</w:t>
      </w:r>
    </w:p>
    <w:p>
      <w:pPr>
        <w:spacing w:before="0" w:after="0" w:line="408" w:lineRule="exact"/>
        <w:ind w:left="0" w:right="0" w:firstLine="576"/>
        <w:jc w:val="left"/>
      </w:pPr>
      <w:r>
        <w:rPr/>
        <w:t xml:space="preserve">(8) "Third-party vendor" means an entity other than an electric utility that provides a renewable energy system to electric utility customers through a consumer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an electric utility is not liable for any harm, economic or otherwise, caused to a customer or competitive electrical company by disconnection of a leased energy system owned by the competitive electrical company or owned by another electric utility.</w:t>
      </w:r>
    </w:p>
    <w:p>
      <w:pPr>
        <w:spacing w:before="0" w:after="0" w:line="408" w:lineRule="exact"/>
        <w:ind w:left="0" w:right="0" w:firstLine="576"/>
        <w:jc w:val="left"/>
      </w:pPr>
      <w:r>
        <w:rPr/>
        <w:t xml:space="preserve">(2) The reasons for such disconnection may include, but are not limited to, safety or reliability purposes, faulty equipment, a customer's nonpayment of an electric bill, or violation by the customer or competitive electrical company of the interconnection agreement between the electric utility and the customer.</w:t>
      </w:r>
    </w:p>
    <w:p>
      <w:pPr>
        <w:spacing w:before="0" w:after="0" w:line="408" w:lineRule="exact"/>
        <w:ind w:left="0" w:right="0" w:firstLine="576"/>
        <w:jc w:val="left"/>
      </w:pPr>
      <w:r>
        <w:rPr/>
        <w:t xml:space="preserve">(3) An electric utility may not develop or apply standards for disconnection of a renewable energy system that discriminate on the basis of whether the system is owned by the utility, the customer, or a competitive electrical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 utilities and competitive electrical service companies are encouraged to offer to customers the option to purchase the renewable energy system at the end of the consumer contract's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the event that real property subject to a renewable energy system consumer contract is sold, the remainder of the consumer contract must be assumed by the buyer if a memorandum has been recorded reflecting the essential terms of the consumer contract, unless the seller and buyer agree otherwise. The transfer of ownership of real property subject to a consumer contract does not trigger a requirement to recertify a renewable energy system previously certified for incentives under chapter 82.16 RCW. If the buyer of such property assumes a consumer contract for a renewable energy system previously certified for these incentives, the buyer continues to qualify for all applicable incentives as originally certified under chapter 82.16 RCW and any other benefits of the consumer contract, as long as the buyer enters a new interconnection agreement with the utility. The utility may not, as a condition of entering into a new interconnection agreement with the person who has assumed the consumer contract, require installation of new equipment during the term that the system has received certification for the incentives provided in section 5 of this act.</w:t>
      </w:r>
    </w:p>
    <w:p>
      <w:pPr>
        <w:spacing w:before="0" w:after="0" w:line="408" w:lineRule="exact"/>
        <w:ind w:left="0" w:right="0" w:firstLine="576"/>
        <w:jc w:val="left"/>
      </w:pPr>
      <w:r>
        <w:rPr/>
        <w:t xml:space="preserve">(b) Thirty days prior to closing, the seller of property subject to a consumer contract shall notify any utility and competitive electrical company affected by the consumer contract that the buyer is assuming the contract, or that the buyer and seller have agreed otherwise as provided in (a) of this subsection.</w:t>
      </w:r>
    </w:p>
    <w:p>
      <w:pPr>
        <w:spacing w:before="0" w:after="0" w:line="408" w:lineRule="exact"/>
        <w:ind w:left="0" w:right="0" w:firstLine="576"/>
        <w:jc w:val="left"/>
      </w:pPr>
      <w:r>
        <w:rPr/>
        <w:t xml:space="preserve">(c) Within seven days of the seller's notice, the utility and competitive electrical company shall provide the documentation of the procedures necessary for assumption of the consumer contract by the buyer, or, in the event that the buyer is not assuming the contract, for termination of the consumer contract and removal of the renewable energy system.</w:t>
      </w:r>
    </w:p>
    <w:p>
      <w:pPr>
        <w:spacing w:before="0" w:after="0" w:line="408" w:lineRule="exact"/>
        <w:ind w:left="0" w:right="0" w:firstLine="576"/>
        <w:jc w:val="left"/>
      </w:pPr>
      <w:r>
        <w:rPr/>
        <w:t xml:space="preserve">(d) At the end of the consumer contract term or in the event of any earlier termination of the consumer contract, the owner of the renewable energy system, whether it is a utility or competitive electrical company, is responsible for the removal of the renewable energy system from the property and may recover the cost thereof only as specified in the consumer contract and noted in the recorded memorandum. The owner of the renewable energy system may only obtain damages for the premature termination of a consumer contract to the extent that the amount of the damages is specified as liquidated damages in the consumer contract.</w:t>
      </w:r>
    </w:p>
    <w:p>
      <w:pPr>
        <w:spacing w:before="0" w:after="0" w:line="408" w:lineRule="exact"/>
        <w:ind w:left="0" w:right="0" w:firstLine="576"/>
        <w:jc w:val="left"/>
      </w:pPr>
      <w:r>
        <w:rPr/>
        <w:t xml:space="preserve">(e) Renewable energy system consumer contracts may not grant utilities or competitive electrical companies any authority to approve or disapprove of the transfer of real property associated with such a consumer contract.</w:t>
      </w:r>
    </w:p>
    <w:p>
      <w:pPr>
        <w:spacing w:before="0" w:after="0" w:line="408" w:lineRule="exact"/>
        <w:ind w:left="0" w:right="0" w:firstLine="576"/>
        <w:jc w:val="left"/>
      </w:pPr>
      <w:r>
        <w:rPr/>
        <w:t xml:space="preserve">(2)(a) The owner of a renewable energy system shall guarantee sufficient funds to properly dispose of the system at the end of the consumer contract.</w:t>
      </w:r>
    </w:p>
    <w:p>
      <w:pPr>
        <w:spacing w:before="0" w:after="0" w:line="408" w:lineRule="exact"/>
        <w:ind w:left="0" w:right="0" w:firstLine="576"/>
        <w:jc w:val="left"/>
      </w:pPr>
      <w:r>
        <w:rPr/>
        <w:t xml:space="preserve">(b) The owner of a renewable energy system must remove the renewable energy system from the property within twenty-one days of a written request of the property owner.</w:t>
      </w:r>
    </w:p>
    <w:p>
      <w:pPr>
        <w:spacing w:before="0" w:after="0" w:line="408" w:lineRule="exact"/>
        <w:ind w:left="0" w:right="0" w:firstLine="576"/>
        <w:jc w:val="left"/>
      </w:pPr>
      <w:r>
        <w:rPr/>
        <w:t xml:space="preserve">(c) The owner of a renewable energy system is responsible for identifying hazardous and commercial valuable materials contained in the renewable energy system and how those materials will be properly disposed of or reclaimed. The owner must provide this information to the utilities and transportation commission upon request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utilities and transportation commission shall publish, without disclosing proprietary information, a list of financing models for leased energy systems being offered to utility customers by investor-owned utilities or competitive electrical companies.</w:t>
      </w:r>
    </w:p>
    <w:p>
      <w:pPr>
        <w:spacing w:before="0" w:after="0" w:line="408" w:lineRule="exact"/>
        <w:ind w:left="0" w:right="0" w:firstLine="576"/>
        <w:jc w:val="left"/>
      </w:pPr>
      <w:r>
        <w:rPr/>
        <w:t xml:space="preserve">(2) If a consumer-owned utility opts to provide a leased energy program, or contracts with a competitive electrical company to offer a leased energy program, the governing board of the consumer-owned utility shall publish, without disclosing proprietary information, a list of financing models being offered by the consumer-owned utility or by competitive electrical companies that the consumer-owned utility has contracted with to provide services to the consumer-owned utility's customers as part of a leased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Competitive electrical companies are electrical companies as defined in this title and are subject to the jurisdiction of the commission.</w:t>
      </w:r>
    </w:p>
    <w:p>
      <w:pPr>
        <w:spacing w:before="0" w:after="0" w:line="408" w:lineRule="exact"/>
        <w:ind w:left="0" w:right="0" w:firstLine="576"/>
        <w:jc w:val="left"/>
      </w:pPr>
      <w:r>
        <w:rPr/>
        <w:t xml:space="preserve">(b) Traditional rate of return, rate base regulation of competitive electrical companies providing leasing and installation of renewable energy systems does not provide the most efficient and effective means of achieving the public policy goals of this state as declared in RCW 80.28.024, 80.28.074, this section, and section 8 of this act. These goals include promoting the use of renewable energy resources, maintaining and advancing the efficiency and availability of electric services, and ensuring that customers pay only reasonable charges.</w:t>
      </w:r>
    </w:p>
    <w:p>
      <w:pPr>
        <w:spacing w:before="0" w:after="0" w:line="408" w:lineRule="exact"/>
        <w:ind w:left="0" w:right="0" w:firstLine="576"/>
        <w:jc w:val="left"/>
      </w:pPr>
      <w:r>
        <w:rPr/>
        <w:t xml:space="preserve">(c) The provision of competitive electrical services is affected with the public interest and requires the oversight of the commission in order to protect consumers. Nothing in this act precludes the office of the attorney general from exercising its statutory authority under chapter 19.86 RCW.</w:t>
      </w:r>
    </w:p>
    <w:p>
      <w:pPr>
        <w:spacing w:before="0" w:after="0" w:line="408" w:lineRule="exact"/>
        <w:ind w:left="0" w:right="0" w:firstLine="576"/>
        <w:jc w:val="left"/>
      </w:pPr>
      <w:r>
        <w:rPr/>
        <w:t xml:space="preserve">(2) The definitions in section 11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third-party vendor, including an affiliate of an electric utility, may engage in business as a competitive electrical company in this state, except in accordance with the provisions of this chapter. Engaging in business as a competitive electrical company includes advertising, soliciting, offering, or entering into an agreement to own a renewable energy system and provide competitive electrical services on property owned or controlled by a customer.</w:t>
      </w:r>
    </w:p>
    <w:p>
      <w:pPr>
        <w:spacing w:before="0" w:after="0" w:line="408" w:lineRule="exact"/>
        <w:ind w:left="0" w:right="0" w:firstLine="576"/>
        <w:jc w:val="left"/>
      </w:pPr>
      <w:r>
        <w:rPr/>
        <w:t xml:space="preserve">(2) Competitive electrical companies must register with the commission. The registration must be on a form prescribed by the commission, contain information the commission may by rule require, and must include at a minimum: The name and address of the company; the name and address of the company's registered agent, if any; the company's universal business identification number; the name, address, and title of each officer or director; if the company is publicly traded, the company's most recent annual report filed with the United States securities and exchange commission; if the company is not publicly traded, the company's current balance sheet; the company's latest annual report, if any; and a description of the services the company offers or intends to offer.</w:t>
      </w:r>
    </w:p>
    <w:p>
      <w:pPr>
        <w:spacing w:before="0" w:after="0" w:line="408" w:lineRule="exact"/>
        <w:ind w:left="0" w:right="0" w:firstLine="576"/>
        <w:jc w:val="left"/>
      </w:pPr>
      <w:r>
        <w:rPr/>
        <w:t xml:space="preserve">(3) The commission may reject an application that does not contain all information required by this section or by commission rule.</w:t>
      </w:r>
    </w:p>
    <w:p>
      <w:pPr>
        <w:spacing w:before="0" w:after="0" w:line="408" w:lineRule="exact"/>
        <w:ind w:left="0" w:right="0" w:firstLine="576"/>
        <w:jc w:val="left"/>
      </w:pPr>
      <w:r>
        <w:rPr/>
        <w:t xml:space="preserve">(4) The commission must take action to approve or deny any application for registration within thirty days after receiving the application. The commission may approve such application with or without a hearing. The commission may deny such application after a hearing when it finds that the company or its registered agent has violated this chapter or the rules of the commission, or the company or its registered agent has been found by a court or governmental agency to have violated the laws of a state or the United States.</w:t>
      </w:r>
    </w:p>
    <w:p>
      <w:pPr>
        <w:spacing w:before="0" w:after="0" w:line="408" w:lineRule="exact"/>
        <w:ind w:left="0" w:right="0" w:firstLine="576"/>
        <w:jc w:val="left"/>
      </w:pPr>
      <w:r>
        <w:rPr/>
        <w:t xml:space="preserve">(5) The commission may charge competitive electrical companies a one-time application fee to recover the cost of processing applications for registration under this section.</w:t>
      </w:r>
    </w:p>
    <w:p>
      <w:pPr>
        <w:spacing w:before="0" w:after="0" w:line="408" w:lineRule="exact"/>
        <w:ind w:left="0" w:right="0" w:firstLine="576"/>
        <w:jc w:val="left"/>
      </w:pPr>
      <w:r>
        <w:rPr/>
        <w:t xml:space="preserve">(6) The commission shall adopt rules that describe the manner by which it will register competitive electrical companies, ensure that consumer contracts comply with commission rules and section 18 of this act, and establish the companies' responsibilities for responding to customer complaints and disputes. Pursuant to RCW 80.04.080, 80.24.010, and 80.24.020, the commission shall adopt annual reporting requirements, and the amount of application and regulatory fees applicable to competitive electrical companies.</w:t>
      </w:r>
    </w:p>
    <w:p>
      <w:pPr>
        <w:spacing w:before="0" w:after="0" w:line="408" w:lineRule="exact"/>
        <w:ind w:left="0" w:right="0" w:firstLine="576"/>
        <w:jc w:val="left"/>
      </w:pPr>
      <w:r>
        <w:rPr/>
        <w:t xml:space="preserve">(7) The commission may suspend or revoke a registration upon complaint by any interested party, or upon the commission's own motion after notice and opportunity for hearing, when it finds that the registered competitive electrical company or its agent has violated this chapter, the rules of the commission, or the company or its registered agent has been found by a court or governmental agency to have violated the laws of a state or the United States.</w:t>
      </w:r>
    </w:p>
    <w:p>
      <w:pPr>
        <w:spacing w:before="0" w:after="0" w:line="408" w:lineRule="exact"/>
        <w:ind w:left="0" w:right="0" w:firstLine="576"/>
        <w:jc w:val="left"/>
      </w:pPr>
      <w:r>
        <w:rPr/>
        <w:t xml:space="preserve">(8) The definitions in section 11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Competitive electrical companies are subject to consumer protection regulation applicable to electrical companies under this title, and as described in this act. Such regulation shall be limited to registration, disclosure of terms of services, and investigation and resolution of complaints and disputes. The commission may issue penalties for violations of this chapter or commission rules, as authorized in chapter 80.04 RCW. Competitive electrical companies are not subject to the regulatory requirements concerning rate regulation and furnishing of service for electrical companies in this title, including but not limited to RCW 80.28.010, 80.28.020, 80.28.025, 80.28.050, 80.28.060, 80.28.065, 80.28.068, 80.28.075, 80.28.080, 80.28.090, 80.28.100, 80.28.110, and 80.28.120. Competition among competitive electrical companies serves the same purposes as economic regulation. The commission may waive any regulatory requirement under this title for competitive electrical companies when it determines that competition will serve the same purposes as public interest regulation.</w:t>
      </w:r>
    </w:p>
    <w:p>
      <w:pPr>
        <w:spacing w:before="0" w:after="0" w:line="408" w:lineRule="exact"/>
        <w:ind w:left="0" w:right="0" w:firstLine="576"/>
        <w:jc w:val="left"/>
      </w:pPr>
      <w:r>
        <w:rPr/>
        <w:t xml:space="preserve">(2) Competitive electrical companies may not engage in unfair or deceptive business practices in the provision of competitive electrical company services. A competitive electrical company shall at a minimum:</w:t>
      </w:r>
    </w:p>
    <w:p>
      <w:pPr>
        <w:spacing w:before="0" w:after="0" w:line="408" w:lineRule="exact"/>
        <w:ind w:left="0" w:right="0" w:firstLine="576"/>
        <w:jc w:val="left"/>
      </w:pPr>
      <w:r>
        <w:rPr/>
        <w:t xml:space="preserve">(a) Keep its customer records available for inspection by the commission for five years;</w:t>
      </w:r>
    </w:p>
    <w:p>
      <w:pPr>
        <w:spacing w:before="0" w:after="0" w:line="408" w:lineRule="exact"/>
        <w:ind w:left="0" w:right="0" w:firstLine="576"/>
        <w:jc w:val="left"/>
      </w:pPr>
      <w:r>
        <w:rPr/>
        <w:t xml:space="preserve">(b) Cooperate with commission investigations of customer complaints;</w:t>
      </w:r>
    </w:p>
    <w:p>
      <w:pPr>
        <w:spacing w:before="0" w:after="0" w:line="408" w:lineRule="exact"/>
        <w:ind w:left="0" w:right="0" w:firstLine="576"/>
        <w:jc w:val="left"/>
      </w:pPr>
      <w:r>
        <w:rPr/>
        <w:t xml:space="preserve">(c) Ensure that its consumer contracts meet the disclosure requirements established by commission rules. Consumer contracts must clearly state:</w:t>
      </w:r>
    </w:p>
    <w:p>
      <w:pPr>
        <w:spacing w:before="0" w:after="0" w:line="408" w:lineRule="exact"/>
        <w:ind w:left="0" w:right="0" w:firstLine="576"/>
        <w:jc w:val="left"/>
      </w:pPr>
      <w:r>
        <w:rPr/>
        <w:t xml:space="preserve">(i) The payment schedule and an estimate of the amount of periodic payments;</w:t>
      </w:r>
    </w:p>
    <w:p>
      <w:pPr>
        <w:spacing w:before="0" w:after="0" w:line="408" w:lineRule="exact"/>
        <w:ind w:left="0" w:right="0" w:firstLine="576"/>
        <w:jc w:val="left"/>
      </w:pPr>
      <w:r>
        <w:rPr/>
        <w:t xml:space="preserve">(ii) Estimates of the total contract payments in the first year, the percentage contract payments increase each year, and the total amount the customer will pay over time;</w:t>
      </w:r>
    </w:p>
    <w:p>
      <w:pPr>
        <w:spacing w:before="0" w:after="0" w:line="408" w:lineRule="exact"/>
        <w:ind w:left="0" w:right="0" w:firstLine="576"/>
        <w:jc w:val="left"/>
      </w:pPr>
      <w:r>
        <w:rPr/>
        <w:t xml:space="preserve">(iii) Any potential fees or penalties for late payments;</w:t>
      </w:r>
    </w:p>
    <w:p>
      <w:pPr>
        <w:spacing w:before="0" w:after="0" w:line="408" w:lineRule="exact"/>
        <w:ind w:left="0" w:right="0" w:firstLine="576"/>
        <w:jc w:val="left"/>
      </w:pPr>
      <w:r>
        <w:rPr/>
        <w:t xml:space="preserve">(iv) A concise list of customer obligations beyond the monthly payments;</w:t>
      </w:r>
    </w:p>
    <w:p>
      <w:pPr>
        <w:spacing w:before="0" w:after="0" w:line="408" w:lineRule="exact"/>
        <w:ind w:left="0" w:right="0" w:firstLine="576"/>
        <w:jc w:val="left"/>
      </w:pPr>
      <w:r>
        <w:rPr/>
        <w:t xml:space="preserve">(v) An estimate of annual energy production for the term of the contract;</w:t>
      </w:r>
    </w:p>
    <w:p>
      <w:pPr>
        <w:spacing w:before="0" w:after="0" w:line="408" w:lineRule="exact"/>
        <w:ind w:left="0" w:right="0" w:firstLine="576"/>
        <w:jc w:val="left"/>
      </w:pPr>
      <w:r>
        <w:rPr/>
        <w:t xml:space="preserve">(vi) A description of warranties provided;</w:t>
      </w:r>
    </w:p>
    <w:p>
      <w:pPr>
        <w:spacing w:before="0" w:after="0" w:line="408" w:lineRule="exact"/>
        <w:ind w:left="0" w:right="0" w:firstLine="576"/>
        <w:jc w:val="left"/>
      </w:pPr>
      <w:r>
        <w:rPr/>
        <w:t xml:space="preserve">(vii) The manufacturer and model of all substantial system components;</w:t>
      </w:r>
    </w:p>
    <w:p>
      <w:pPr>
        <w:spacing w:before="0" w:after="0" w:line="408" w:lineRule="exact"/>
        <w:ind w:left="0" w:right="0" w:firstLine="576"/>
        <w:jc w:val="left"/>
      </w:pPr>
      <w:r>
        <w:rPr/>
        <w:t xml:space="preserve">(viii) If applicable, a reference to the source of any information concerning historical or projected electricity prices;</w:t>
      </w:r>
    </w:p>
    <w:p>
      <w:pPr>
        <w:spacing w:before="0" w:after="0" w:line="408" w:lineRule="exact"/>
        <w:ind w:left="0" w:right="0" w:firstLine="576"/>
        <w:jc w:val="left"/>
      </w:pPr>
      <w:r>
        <w:rPr/>
        <w:t xml:space="preserve">(ix) A clear statement that the customer is responsible for making a regular payment to his or her electric utility at billed rates in addition to a regular payment to the competitive electrical company;</w:t>
      </w:r>
    </w:p>
    <w:p>
      <w:pPr>
        <w:spacing w:before="0" w:after="0" w:line="408" w:lineRule="exact"/>
        <w:ind w:left="0" w:right="0" w:firstLine="576"/>
        <w:jc w:val="left"/>
      </w:pPr>
      <w:r>
        <w:rPr/>
        <w:t xml:space="preserve">(x) A clear statement that the customer is responsible for entering into necessary interconnection and net metering agreements with his or her electric utility;</w:t>
      </w:r>
    </w:p>
    <w:p>
      <w:pPr>
        <w:spacing w:before="0" w:after="0" w:line="408" w:lineRule="exact"/>
        <w:ind w:left="0" w:right="0" w:firstLine="576"/>
        <w:jc w:val="left"/>
      </w:pPr>
      <w:r>
        <w:rPr/>
        <w:t xml:space="preserve">(xi) A description of a customer's options upon sale of his or her property;</w:t>
      </w:r>
    </w:p>
    <w:p>
      <w:pPr>
        <w:spacing w:before="0" w:after="0" w:line="408" w:lineRule="exact"/>
        <w:ind w:left="0" w:right="0" w:firstLine="576"/>
        <w:jc w:val="left"/>
      </w:pPr>
      <w:r>
        <w:rPr/>
        <w:t xml:space="preserve">(xii) The amount of operations and maintenance costs charged in the agreement per month and amount of such costs being paid towards capital costs of systems; and</w:t>
      </w:r>
    </w:p>
    <w:p>
      <w:pPr>
        <w:spacing w:before="0" w:after="0" w:line="408" w:lineRule="exact"/>
        <w:ind w:left="0" w:right="0" w:firstLine="576"/>
        <w:jc w:val="left"/>
      </w:pPr>
      <w:r>
        <w:rPr/>
        <w:t xml:space="preserve">(xiii) The length of time it may take to make a repair necessitated by failure of the installation or equipment.</w:t>
      </w:r>
    </w:p>
    <w:p>
      <w:pPr>
        <w:spacing w:before="0" w:after="0" w:line="408" w:lineRule="exact"/>
        <w:ind w:left="0" w:right="0" w:firstLine="576"/>
        <w:jc w:val="left"/>
      </w:pPr>
      <w:r>
        <w:rPr/>
        <w:t xml:space="preserve">(3) Any consumer contract for competitive electrical services that includes terms limiting the customer's right to obtain a remedy by accessing a court or the customer's right to enter into class litigation must provide these terms on a separate contract page in bold and conspicuous print and require the customer to separately sign acknowledgment of the terms.</w:t>
      </w:r>
    </w:p>
    <w:p>
      <w:pPr>
        <w:spacing w:before="0" w:after="0" w:line="408" w:lineRule="exact"/>
        <w:ind w:left="0" w:right="0" w:firstLine="576"/>
        <w:jc w:val="left"/>
      </w:pPr>
      <w:r>
        <w:rPr/>
        <w:t xml:space="preserve">(4) A competitive electrical company may not include in a consumer contract a provision that limits a consumer's ability to seek damages. A provision limiting damages is void as against public policy.</w:t>
      </w:r>
    </w:p>
    <w:p>
      <w:pPr>
        <w:spacing w:before="0" w:after="0" w:line="408" w:lineRule="exact"/>
        <w:ind w:left="0" w:right="0" w:firstLine="576"/>
        <w:jc w:val="left"/>
      </w:pPr>
      <w:r>
        <w:rPr/>
        <w:t xml:space="preserve">(5) Nothing in this section removes a competitive electrical company's responsibility to ensure that its consumer contracts also meet the requirements of applicable state and federal laws.</w:t>
      </w:r>
    </w:p>
    <w:p>
      <w:pPr>
        <w:spacing w:before="0" w:after="0" w:line="408" w:lineRule="exact"/>
        <w:ind w:left="0" w:right="0" w:firstLine="576"/>
        <w:jc w:val="left"/>
      </w:pPr>
      <w:r>
        <w:rPr/>
        <w:t xml:space="preserve">(6) During a state of emergency declared under RCW 43.06.010(12), the governor may waive or suspend the operation or enforcement of this section, any portion of this section, or any administrative rule created pursuant to this section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(7) The definitions in section 11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competitive electrical company and each electrical company shall provide to the commission, within thirty days of its issuance, a copy of every judgment or arbitration decision in an action alleging a violation of the consumer protections afforded by sections 10 through 15 of this act or chapter 19.86 RCW.</w:t>
      </w:r>
    </w:p>
    <w:p>
      <w:pPr>
        <w:spacing w:before="0" w:after="0" w:line="408" w:lineRule="exact"/>
        <w:ind w:left="0" w:right="0" w:firstLine="576"/>
        <w:jc w:val="left"/>
      </w:pPr>
      <w:r>
        <w:rPr/>
        <w:t xml:space="preserve">(2) Each consumer-owned utility shall provide to the attorney general, within thirty days of its issuance, a copy of every judgment or arbitration decision in an action alleging a violation of the consumer protections afforded by sections 10 through 15 of this act or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addition to the penalties provided in this title, a violation by a competitive electrical company of sections 16 through 19 of this act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 The commission may consult with the office of the attorney general regarding the administration and enforcement of this chapter as it pertains to competitive electrical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170</w:t>
      </w:r>
      <w:r>
        <w:rPr/>
        <w:t xml:space="preserve"> and 1977 c 49 s 1 are each amended to read as follows:</w:t>
      </w:r>
    </w:p>
    <w:p>
      <w:pPr>
        <w:spacing w:before="0" w:after="0" w:line="408" w:lineRule="exact"/>
        <w:ind w:left="0" w:right="0" w:firstLine="576"/>
        <w:jc w:val="left"/>
      </w:pPr>
      <w:r>
        <w:rPr/>
        <w:t xml:space="preserve">Nothing in this chapter shall apply to actions or transactions otherwise permitted, prohibited or regulated under laws administered by the insurance commissioner of this state, the Washington utilities and transportation commission, the federal power commission or actions or transactions permitted by any other regulatory body or officer acting under statutory authority of this state or the United States: PROVIDED, HOWEVER, That actions and transactions prohibited or regulated under the laws administered by the insurance commissioner shall be subject to the provisions of RCW 19.86.020 and all sections of chapter 216, Laws of 1961 and chapter 19.86 RCW which provide for the implementation and enforcement of RCW 19.86.020 except that nothing required or permitted to be done pursuant to Title 48 RCW shall be construed to be a violation of RCW 19.86.020: PROVIDED, FURTHER, That actions or transactions specifically permitted within the statutory authority granted to any regulatory board or commission established within Title 18 RCW shall not be construed to be a violation of chapter 19.86 RCW: PROVIDED, FURTHER, That this chapter shall apply to actions and transactions in connection with the disposition of human remains.</w:t>
      </w:r>
    </w:p>
    <w:p>
      <w:pPr>
        <w:spacing w:before="0" w:after="0" w:line="408" w:lineRule="exact"/>
        <w:ind w:left="0" w:right="0" w:firstLine="576"/>
        <w:jc w:val="left"/>
      </w:pPr>
      <w:r>
        <w:rPr/>
        <w:t xml:space="preserve">RCW 9A.20.010(2) shall not be applicable to the terms of this chapter and no penalty or remedy shall result from a violation of this chapter except as expressly provided herein.</w:t>
      </w:r>
    </w:p>
    <w:p>
      <w:pPr>
        <w:spacing w:before="0" w:after="0" w:line="408" w:lineRule="exact"/>
        <w:ind w:left="0" w:right="0" w:firstLine="576"/>
        <w:jc w:val="left"/>
      </w:pPr>
      <w:r>
        <w:rPr>
          <w:u w:val="single"/>
        </w:rPr>
        <w:t xml:space="preserve">For the purposes of this section, actions or transactions of competitive electrical companies, as defined in section 11 of this act, are not deemed otherwise permitted, prohibited, or regulated by the utilities and transportation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December 31, 2015,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December 31, 2015.</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December 31, 2015;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December 31, 2015;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10 through 15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eedbdd576bb48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57561a26b4f9b" /><Relationship Type="http://schemas.openxmlformats.org/officeDocument/2006/relationships/footer" Target="/word/footer.xml" Id="Rceedbdd576bb488d" /></Relationships>
</file>