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35e0330ef4204" /></Relationships>
</file>

<file path=word/document.xml><?xml version="1.0" encoding="utf-8"?>
<w:document xmlns:w="http://schemas.openxmlformats.org/wordprocessingml/2006/main">
  <w:body>
    <w:p>
      <w:r>
        <w:t>H-1964.2</w:t>
      </w:r>
    </w:p>
    <w:p>
      <w:pPr>
        <w:jc w:val="center"/>
      </w:pPr>
      <w:r>
        <w:t>_______________________________________________</w:t>
      </w:r>
    </w:p>
    <w:p/>
    <w:p>
      <w:pPr>
        <w:jc w:val="center"/>
      </w:pPr>
      <w:r>
        <w:rPr>
          <w:b/>
        </w:rPr>
        <w:t>SUBSTITUTE HOUSE BILL 1916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and Harris)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administrative provisions for chemical dependency and mental health; amending RCW 71.24.035, 70.96A.050, 71.24.037, 70.96A.090, 71.24.385, 70.96A.350, 70.96A.035, 70.96C.010, 70.96A.037, 70.96A.047, 70.96A.055, 70.96A.087, 70.96A.170, 70.96A.180, 70.96A.095, 70.96A.096, 70.96A.097, 70.96A.235, 70.96A.240, 70.96A.245, 70.96A.250, 70.96A.265, 70.96A.400, 70.96A.800, 70.96A.905, 71.24.350, 2.28.170, 9.94A.660, 10.05.020, 10.05.030, 10.05.150, 46.61.5055, and 46.61.5056; reenacting and amending RCW 71.24.025 and 70.96A.020; adding new sections to chapter 71.24 RCW; recodifying RCW 70.96A.035, 70.96A.037, 70.96A.040, 70.96A.043, 70.96A.047, 70.96A.050, 70.96A.055, 70.96A.080, 70.96A.085, 70.96A.090, 70.96A.095, 70.96A.096, 70.96A.097, 70.96A.170, 70.96A.180, 70.96A.230, 70.96A.235, 70.96A.240, 70.96A.245, 70.96A.250, 70.96A.255, 70.96A.260, 70.96A.265, 70.96A.350, 70.96A.400, 70.96A.410, 70.96A.420, 70.96A.430, 70.96A.500, 70.96A.510, 70.96A.520, 70.96A.800, 70.96A.905, and 70.96C.010; decodifying RCW 43.135.03901; repealing RCW 70.96A.030, 70.96A.045, 70.96A.060, 70.96A.150, 70.96A.300, 70.96A.310, 70.96A.320, and 70.96A.325;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behavioral health organization that is recognized by the secretary in contract to provide fully integrated purchasing of medical and behavioral health services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evaluation and treatment services and facilities under chapter 71.05 RCW,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w:t>
      </w:r>
      <w:r>
        <w:rPr/>
        <w:noBreakHyphen/>
      </w:r>
      <w:r>
        <w:rPr>
          <w:strike/>
        </w:rPr>
        <w:t xml:space="preserve">operated and must be recovery</w:t>
      </w:r>
      <w:r>
        <w:rPr/>
        <w:noBreakHyphen/>
      </w:r>
      <w:r>
        <w:rPr>
          <w:strike/>
        </w:rPr>
        <w:t xml:space="preserve">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w:t>
      </w:r>
      <w:r>
        <w:rPr/>
        <w:noBreakHyphen/>
      </w:r>
      <w:r>
        <w:rPr>
          <w:strike/>
        </w:rPr>
        <w:t xml:space="preserve">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w:t>
      </w: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chemical dependency</w:t>
      </w:r>
      <w:r>
        <w:t>))</w:t>
      </w:r>
      <w:r>
        <w:rPr/>
        <w:t xml:space="preserve"> </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w:t>
      </w:r>
    </w:p>
    <w:p>
      <w:pPr>
        <w:spacing w:before="0" w:after="0" w:line="408" w:lineRule="exact"/>
        <w:ind w:left="0" w:right="0" w:firstLine="576"/>
        <w:jc w:val="left"/>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department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has joined in the consent to the treatment.</w:t>
      </w:r>
    </w:p>
    <w:p>
      <w:pPr>
        <w:spacing w:before="0" w:after="0" w:line="408" w:lineRule="exact"/>
        <w:ind w:left="0" w:right="0" w:firstLine="576"/>
        <w:jc w:val="left"/>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t xml:space="preserve"> </w:t>
      </w:r>
      <w:r>
        <w:rPr>
          <w:u w:val="single"/>
        </w:rPr>
        <w:t xml:space="preserve">has a substance use disorder</w:t>
      </w:r>
      <w:r>
        <w:rPr/>
        <w:t xml:space="preserve">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w:t>
      </w:r>
      <w:r>
        <w:t>((</w:t>
      </w:r>
      <w:r>
        <w:rPr>
          <w:strike/>
        </w:rPr>
        <w:t xml:space="preserve">chemical dependency</w:t>
      </w:r>
      <w:r>
        <w:t>))</w:t>
      </w:r>
      <w:r>
        <w:rPr/>
        <w:t xml:space="preserve"> </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t xml:space="preserve"> </w:t>
      </w:r>
      <w:r>
        <w:rPr>
          <w:u w:val="single"/>
        </w:rPr>
        <w:t xml:space="preserve">substance use disorder</w:t>
      </w:r>
      <w:r>
        <w:rPr/>
        <w:t xml:space="preserve">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spacing w:before="0" w:after="0" w:line="408" w:lineRule="exact"/>
        <w:ind w:left="0" w:right="0" w:firstLine="576"/>
        <w:jc w:val="left"/>
      </w:pPr>
      <w:r>
        <w:rPr/>
        <w:t xml:space="preserve">(1) Jurisdictions may establish and operate drug courts.</w:t>
      </w:r>
    </w:p>
    <w:p>
      <w:pPr>
        <w:spacing w:before="0" w:after="0" w:line="408" w:lineRule="exact"/>
        <w:ind w:left="0" w:right="0" w:firstLine="576"/>
        <w:jc w:val="left"/>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spacing w:before="0" w:after="0" w:line="408" w:lineRule="exact"/>
        <w:ind w:left="0" w:right="0" w:firstLine="576"/>
        <w:jc w:val="left"/>
      </w:pPr>
      <w:r>
        <w:rPr/>
        <w:t xml:space="preserve">(3)(a) Any jurisdiction that seeks a state appropriation to fund a drug court program must first:</w:t>
      </w:r>
    </w:p>
    <w:p>
      <w:pPr>
        <w:spacing w:before="0" w:after="0" w:line="408" w:lineRule="exact"/>
        <w:ind w:left="0" w:right="0" w:firstLine="576"/>
        <w:jc w:val="left"/>
      </w:pPr>
      <w:r>
        <w:rPr/>
        <w:t xml:space="preserve">(i) Exhaust all federal funding that is available to support the operations of its drug court and associated services; and</w:t>
      </w:r>
    </w:p>
    <w:p>
      <w:pPr>
        <w:spacing w:before="0" w:after="0" w:line="408" w:lineRule="exact"/>
        <w:ind w:left="0" w:right="0" w:firstLine="576"/>
        <w:jc w:val="left"/>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spacing w:before="0" w:after="0" w:line="408" w:lineRule="exact"/>
        <w:ind w:left="0" w:right="0" w:firstLine="576"/>
        <w:jc w:val="left"/>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spacing w:before="0" w:after="0" w:line="408" w:lineRule="exact"/>
        <w:ind w:left="0" w:right="0" w:firstLine="576"/>
        <w:jc w:val="left"/>
      </w:pPr>
      <w:r>
        <w:rPr/>
        <w:t xml:space="preserve">(i) The offender would benefit from substance abuse treatment;</w:t>
      </w:r>
    </w:p>
    <w:p>
      <w:pPr>
        <w:spacing w:before="0" w:after="0" w:line="408" w:lineRule="exact"/>
        <w:ind w:left="0" w:right="0" w:firstLine="576"/>
        <w:jc w:val="left"/>
      </w:pPr>
      <w:r>
        <w:rPr/>
        <w:t xml:space="preserve">(ii) The offender has not previously been convicted of a serious violent offense or sex offense as defined in RCW 9.94A.030; and</w:t>
      </w:r>
    </w:p>
    <w:p>
      <w:pPr>
        <w:spacing w:before="0" w:after="0" w:line="408" w:lineRule="exact"/>
        <w:ind w:left="0" w:right="0" w:firstLine="576"/>
        <w:jc w:val="left"/>
      </w:pPr>
      <w:r>
        <w:rPr/>
        <w:t xml:space="preserve">(iii) Without regard to whether proof of any of these elements is required to convict, the offender is not currently charged with or convicted of an offense:</w:t>
      </w:r>
    </w:p>
    <w:p>
      <w:pPr>
        <w:spacing w:before="0" w:after="0" w:line="408" w:lineRule="exact"/>
        <w:ind w:left="0" w:right="0" w:firstLine="576"/>
        <w:jc w:val="left"/>
      </w:pPr>
      <w:r>
        <w:rPr/>
        <w:t xml:space="preserve">(A) That is a sex offense;</w:t>
      </w:r>
    </w:p>
    <w:p>
      <w:pPr>
        <w:spacing w:before="0" w:after="0" w:line="408" w:lineRule="exact"/>
        <w:ind w:left="0" w:right="0" w:firstLine="576"/>
        <w:jc w:val="left"/>
      </w:pPr>
      <w:r>
        <w:rPr/>
        <w:t xml:space="preserve">(B) That is a serious violent offense;</w:t>
      </w:r>
    </w:p>
    <w:p>
      <w:pPr>
        <w:spacing w:before="0" w:after="0" w:line="408" w:lineRule="exact"/>
        <w:ind w:left="0" w:right="0" w:firstLine="576"/>
        <w:jc w:val="left"/>
      </w:pPr>
      <w:r>
        <w:rPr/>
        <w:t xml:space="preserve">(C) During which the defendant used a firearm; or</w:t>
      </w:r>
    </w:p>
    <w:p>
      <w:pPr>
        <w:spacing w:before="0" w:after="0" w:line="408" w:lineRule="exact"/>
        <w:ind w:left="0" w:right="0" w:firstLine="576"/>
        <w:jc w:val="left"/>
      </w:pPr>
      <w:r>
        <w:rPr/>
        <w:t xml:space="preserve">(D) During which the defendant caused substantial or great bodily harm or death to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
      <w:pPr>
        <w:jc w:val="center"/>
      </w:pPr>
      <w:r>
        <w:rPr>
          <w:b/>
        </w:rPr>
        <w:t>--- END ---</w:t>
      </w:r>
    </w:p>
    <w:sectPr>
      <w:pgNumType w:start="1"/>
      <w:footerReference xmlns:r="http://schemas.openxmlformats.org/officeDocument/2006/relationships" r:id="Rc16ec77d199c4c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09cf22733a4548" /><Relationship Type="http://schemas.openxmlformats.org/officeDocument/2006/relationships/footer" Target="/word/footer.xml" Id="Rc16ec77d199c4c5d" /></Relationships>
</file>