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28aadf1d5b4fc1" /></Relationships>
</file>

<file path=word/document.xml><?xml version="1.0" encoding="utf-8"?>
<w:document xmlns:w="http://schemas.openxmlformats.org/wordprocessingml/2006/main">
  <w:body>
    <w:p>
      <w:r>
        <w:t>H-1829.4</w:t>
      </w:r>
    </w:p>
    <w:p>
      <w:pPr>
        <w:jc w:val="center"/>
      </w:pPr>
      <w:r>
        <w:t>_______________________________________________</w:t>
      </w:r>
    </w:p>
    <w:p/>
    <w:p>
      <w:pPr>
        <w:jc w:val="center"/>
      </w:pPr>
      <w:r>
        <w:rPr>
          <w:b/>
        </w:rPr>
        <w:t>SUBSTITUTE HOUSE BILL 1940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Stokesbary, Fitzgibbon, Ryu, Magendanz, Kochmar, Hargrove, Rodne, Bergquist, Hurst, Gregerson, Orwall, and Jinkins)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levies imposed by qualifying flood control zone districts from certain limitations upon regular property tax levies; amending RCW 84.52.010 and 84.52.043; adding a new section to chapter 84.52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that can result in loss of human life, damage to property, destruction of infrastructure, and bring economic activity to a standstill. The legislature further finds that flood control zone districts offer critical services to protect communities against flooding's devastating effects.</w:t>
      </w:r>
      <w:r>
        <w:rPr/>
        <w:t xml:space="preserve"> Therefore, it is the legislature's intent to exempt levies imposed by a qualifying flood control zone district from certain limitations upon regular property tax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rPr>
          <w:u w:val="single"/>
        </w:rPr>
        <w:t xml:space="preserve">and the portion of the levy by a flood control zone district that was protected under section 3 of this act,</w:t>
      </w:r>
      <w:r>
        <w:rPr/>
        <w:t xml:space="preserve">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 The portion of the levy by a flood control zone district that was protected under section 3 of this act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w:t>
      </w:r>
      <w:r>
        <w:rPr/>
        <w:t xml:space="preserve">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other than the portion of a levy protected under section 3 of this act 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 flood control zone district in a county with a population of seven hundred seventy-five thousand or more that is coextensive with a county may protect the levy under RCW 86.15.160 from prorationing under RCW 84.52.010(3)(b)(ii) by imposing up to a total of twenty-five cents per thousand dollars of assessed value of the tax levy authorized under RCW 86.15.160 outside of the five dollars and ninety cents per thousand dollars of assessed value limitation under RCW 84.52.043(2), if those taxes otherwise would be prorated under RCW 84.52.010(3)(b)(ii).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the portion of the levy by flood control zone districts that is protected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respect to a flood control zone district in a county with a population of one million five hundred thousand or more that is coextensive with a county, this act applies, only if the rights, powers, functions, and obligations of the district have been assumed by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423b6089a3364b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629c38d8c4339" /><Relationship Type="http://schemas.openxmlformats.org/officeDocument/2006/relationships/footer" Target="/word/footer.xml" Id="R423b6089a3364b71" /></Relationships>
</file>