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6c5130bc847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Hargrove, Hayes, Pike, Zeiger, Muri,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transportation implementation of practical design; reenacting and amending RCW 43.84.092 and 43.84.092; adding a new section to chapter 47.01 RCW; adding a new section to chapter 46.68 RCW;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For projects identified as connecting Washington projects and supported by revenues under chapter . . . (Engrossed Substitute Senate Bill No. 5987),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thirty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transportation future funding program account created in section 2 of this act.</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transportation future funding program account is created in the connecting Washington account established in chapter . . . (Engrossed Substitute Senate Bill No. 5987), Laws of 2015 3rd sp. sess. Moneys in the account may be spent only after appropriation. Expenditures from the account must be used only for preservation projects, to accelerate the schedule of connecting Washington projects identified in chapter . . . (Engrossed Substitute Senate Bill No. 5988),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6636356ab143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05b8c838f406d" /><Relationship Type="http://schemas.openxmlformats.org/officeDocument/2006/relationships/footer" Target="/word/footer.xml" Id="R506636356ab143f9" /></Relationships>
</file>