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5d526f6e34348" /></Relationships>
</file>

<file path=word/document.xml><?xml version="1.0" encoding="utf-8"?>
<w:document xmlns:w="http://schemas.openxmlformats.org/wordprocessingml/2006/main">
  <w:body>
    <w:p>
      <w:r>
        <w:t>H-1522.1</w:t>
      </w:r>
    </w:p>
    <w:p>
      <w:pPr>
        <w:jc w:val="center"/>
      </w:pPr>
      <w:r>
        <w:t>_______________________________________________</w:t>
      </w:r>
    </w:p>
    <w:p/>
    <w:p>
      <w:pPr>
        <w:jc w:val="center"/>
      </w:pPr>
      <w:r>
        <w:rPr>
          <w:b/>
        </w:rPr>
        <w:t>HOUSE BILL 2060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and Ormsby</w:t>
      </w:r>
    </w:p>
    <w:p/>
    <w:p>
      <w:r>
        <w:rPr>
          <w:t xml:space="preserve">Read first time 02/10/15.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rPr>
          <w:u w:val="single"/>
        </w:rPr>
        <w:t xml:space="preserve">restoration</w:t>
      </w:r>
      <w:r>
        <w:rPr/>
        <w:t xml:space="preserve"> treatment or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t xml:space="preserve">(ii)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t xml:space="preserve">(iii)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mental health and medical records, police reports, the names and addresses of the attorneys for the defendant and state or county, the name of the judge ordering the evaluation, information about the alleged crime, a summary of the reasons for the evaluation request,</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(a)(i) and (ii)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medical history information which is in the custody of a third party and cannot be immediately obtained by the department. Completion of a competency evaluation shall not be postponed for procurement of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NumType w:start="1"/>
      <w:footerReference xmlns:r="http://schemas.openxmlformats.org/officeDocument/2006/relationships" r:id="Rd07a7c01923947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3733a26094632" /><Relationship Type="http://schemas.openxmlformats.org/officeDocument/2006/relationships/footer" Target="/word/footer.xml" Id="Rd07a7c0192394761" /></Relationships>
</file>