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1e423579a4e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2086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Walkinshaw, Moscoso, Farrell, Riccelli, Ormsby, Ryu, Robinson, and Pollet</w:t>
      </w:r>
    </w:p>
    <w:p/>
    <w:p>
      <w:r>
        <w:rPr>
          <w:t xml:space="preserve">Read first time 02/11/15.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ind w:left="0" w:right="0" w:firstLine="360"/>
        <w:jc w:val="both"/>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encampments hosted by religious organizations are a particularly vulnerable population that do not have access to the same services as citizens with more stable housing. Residents in these encampments can be at increased risk of exploitation, theft, unsanitary living conditions, and physical harm. Therefore, it is the intent of the legislature that local municipalities have the authority and discretion to protect the health and safety of residents in temporary encampments hosted by religious organizations.</w:t>
      </w:r>
      <w:r>
        <w:rPr/>
        <w:t xml:space="preserve"> Furthermore, the legislature finds and declares that tent encampments serve as a pathway for individuals experiencing homelessness to achieve financial stability, health, and permanent housing.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county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county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county sheriff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county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county.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county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county.</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city or town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city or town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city or town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city or town.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city or town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city or town.</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code city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code city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code city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code city.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code city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code city.</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9615dc5a18ba4a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7fc51a4f2480c" /><Relationship Type="http://schemas.openxmlformats.org/officeDocument/2006/relationships/footer" Target="/word/footer.xml" Id="R9615dc5a18ba4ae4" /></Relationships>
</file>