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4376ce6d2f4c2d" /></Relationships>
</file>

<file path=word/document.xml><?xml version="1.0" encoding="utf-8"?>
<w:document xmlns:w="http://schemas.openxmlformats.org/wordprocessingml/2006/main">
  <w:body>
    <w:p>
      <w:r>
        <w:t>H-1667.1</w:t>
      </w:r>
    </w:p>
    <w:p>
      <w:pPr>
        <w:jc w:val="center"/>
      </w:pPr>
      <w:r>
        <w:t>_______________________________________________</w:t>
      </w:r>
    </w:p>
    <w:p/>
    <w:p>
      <w:pPr>
        <w:jc w:val="center"/>
      </w:pPr>
      <w:r>
        <w:rPr>
          <w:b/>
        </w:rPr>
        <w:t>HOUSE BILL 2110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and Schmick</w:t>
      </w:r>
    </w:p>
    <w:p/>
    <w:p>
      <w:r>
        <w:rPr>
          <w:t xml:space="preserve">Read first time 02/13/15.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and service charges on certain stand-alone dental plans offered through the health benefit exchange; amending RCW 48.14.020 and 48.14.0201; adding a new section to chapter 43.71 RCW; and adding a new section to chapter 82.04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t>((</w:t>
      </w:r>
      <w:r>
        <w:rPr>
          <w:strike/>
        </w:rPr>
        <w:t xml:space="preserve">shall</w:t>
      </w:r>
      <w:r>
        <w:t>))</w:t>
      </w:r>
      <w:r>
        <w:rPr/>
        <w:t xml:space="preserve"> </w:t>
      </w:r>
      <w:r>
        <w:rPr>
          <w:u w:val="single"/>
        </w:rPr>
        <w:t xml:space="preserve">must</w:t>
      </w:r>
      <w:r>
        <w:rPr/>
        <w:t xml:space="preserve"> on or before the first day of March of each year pay to the state treasurer through the commissioner's office a tax on premiums. Except as provided in subsection (3) of this section, such tax </w:t>
      </w:r>
      <w:r>
        <w:t>((</w:t>
      </w:r>
      <w:r>
        <w:rPr>
          <w:strike/>
        </w:rPr>
        <w:t xml:space="preserve">shall</w:t>
      </w:r>
      <w:r>
        <w:t>))</w:t>
      </w:r>
      <w:r>
        <w:rPr/>
        <w:t xml:space="preserve"> </w:t>
      </w:r>
      <w:r>
        <w:rPr>
          <w:u w:val="single"/>
        </w:rPr>
        <w:t xml:space="preserve">must</w:t>
      </w:r>
      <w:r>
        <w:rPr/>
        <w:t xml:space="preserve">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w:t>
      </w:r>
      <w:r>
        <w:t>((</w:t>
      </w:r>
      <w:r>
        <w:rPr>
          <w:strike/>
        </w:rPr>
        <w:t xml:space="preserve">shall</w:t>
      </w:r>
      <w:r>
        <w:t>))</w:t>
      </w:r>
      <w:r>
        <w:rPr/>
        <w:t xml:space="preserve"> </w:t>
      </w:r>
      <w:r>
        <w:rPr>
          <w:u w:val="single"/>
        </w:rPr>
        <w:t xml:space="preserve">must</w:t>
      </w:r>
      <w:r>
        <w:rPr/>
        <w:t xml:space="preserve"> be on a written basis or on a paid-for basis consistent with the basis required by the annual statement. For the purposes of this section the consideration received by an insurer for the granting of an annuity </w:t>
      </w:r>
      <w:r>
        <w:t>((</w:t>
      </w:r>
      <w:r>
        <w:rPr>
          <w:strike/>
        </w:rPr>
        <w:t xml:space="preserve">shall not be</w:t>
      </w:r>
      <w:r>
        <w:t>))</w:t>
      </w:r>
      <w:r>
        <w:rPr/>
        <w:t xml:space="preserve"> </w:t>
      </w:r>
      <w:r>
        <w:rPr>
          <w:u w:val="single"/>
        </w:rPr>
        <w:t xml:space="preserve">is not</w:t>
      </w:r>
      <w:r>
        <w:rPr/>
        <w:t xml:space="preserv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p>
    <w:p>
      <w:pPr>
        <w:spacing w:before="0" w:after="0" w:line="408" w:lineRule="exact"/>
        <w:ind w:left="0" w:right="0" w:firstLine="576"/>
        <w:jc w:val="left"/>
      </w:pPr>
      <w:r>
        <w:rPr/>
        <w:t xml:space="preserve">(b) Beginning January 1, 2014, moneys collected for premiums written on qualified health benefit plans </w:t>
      </w:r>
      <w:r>
        <w:t>((</w:t>
      </w:r>
      <w:r>
        <w:rPr>
          <w:strike/>
        </w:rPr>
        <w:t xml:space="preserve">and stand-alone dental plans</w:t>
      </w:r>
      <w:r>
        <w:t>))</w:t>
      </w:r>
      <w:r>
        <w:rPr/>
        <w:t xml:space="preserve"> offered through the health benefit exchange under chapter 43.71 RCW must be deposited in the health benefit exchange account under RCW 43.71.060.</w:t>
      </w:r>
    </w:p>
    <w:p>
      <w:pPr>
        <w:spacing w:before="0" w:after="0" w:line="408" w:lineRule="exact"/>
        <w:ind w:left="0" w:right="0" w:firstLine="576"/>
        <w:jc w:val="left"/>
      </w:pPr>
      <w:r>
        <w:rPr>
          <w:u w:val="single"/>
        </w:rPr>
        <w:t xml:space="preserve">(c) Beginning January 1, 2016, moneys collected for premiums written on stand-alone dental plans for pediatric oral services that qualify as coverage for the minimum essential coverage under P.L. 111-148 (2010), as amended,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w:t>
      </w:r>
      <w:r>
        <w:t>((</w:t>
      </w:r>
      <w:r>
        <w:rPr>
          <w:strike/>
        </w:rPr>
        <w:t xml:space="preserve">shall</w:t>
      </w:r>
      <w:r>
        <w:t>))</w:t>
      </w:r>
      <w:r>
        <w:rPr/>
        <w:t xml:space="preserve"> </w:t>
      </w:r>
      <w:r>
        <w:rPr>
          <w:u w:val="single"/>
        </w:rPr>
        <w:t xml:space="preserve">must</w:t>
      </w:r>
      <w:r>
        <w:rPr/>
        <w:t xml:space="preserve">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w:t>
      </w:r>
      <w:r>
        <w:t>((</w:t>
      </w:r>
      <w:r>
        <w:rPr>
          <w:strike/>
        </w:rPr>
        <w:t xml:space="preserve">shall</w:t>
      </w:r>
      <w:r>
        <w:t>))</w:t>
      </w:r>
      <w:r>
        <w:rPr/>
        <w:t xml:space="preserve"> </w:t>
      </w:r>
      <w:r>
        <w:rPr>
          <w:u w:val="single"/>
        </w:rPr>
        <w:t xml:space="preserve">must</w:t>
      </w:r>
      <w:r>
        <w:rPr/>
        <w:t xml:space="preserve">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w:t>
      </w:r>
      <w:r>
        <w:t>((</w:t>
      </w:r>
      <w:r>
        <w:rPr>
          <w:strike/>
        </w:rPr>
        <w:t xml:space="preserve">shall</w:t>
      </w:r>
      <w:r>
        <w:t>))</w:t>
      </w:r>
      <w:r>
        <w:rPr/>
        <w:t xml:space="preserve"> </w:t>
      </w:r>
      <w:r>
        <w:rPr>
          <w:u w:val="single"/>
        </w:rPr>
        <w:t xml:space="preserve">must</w:t>
      </w:r>
      <w:r>
        <w:rPr/>
        <w:t xml:space="preserve">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w:t>
      </w:r>
      <w:r>
        <w:t>((</w:t>
      </w:r>
      <w:r>
        <w:rPr>
          <w:strike/>
        </w:rPr>
        <w:t xml:space="preserve">shall</w:t>
      </w:r>
      <w:r>
        <w:t>))</w:t>
      </w:r>
      <w:r>
        <w:rPr/>
        <w:t xml:space="preserve"> </w:t>
      </w:r>
      <w:r>
        <w:rPr>
          <w:u w:val="single"/>
        </w:rPr>
        <w:t xml:space="preserve">does</w:t>
      </w:r>
      <w:r>
        <w:rPr/>
        <w:t xml:space="preserve">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w:t>
      </w:r>
      <w:r>
        <w:t>((</w:t>
      </w:r>
      <w:r>
        <w:rPr>
          <w:strike/>
        </w:rPr>
        <w:t xml:space="preserve">shall have</w:t>
      </w:r>
      <w:r>
        <w:t>))</w:t>
      </w:r>
      <w:r>
        <w:rPr/>
        <w:t xml:space="preserve"> </w:t>
      </w:r>
      <w:r>
        <w:rPr>
          <w:u w:val="single"/>
        </w:rPr>
        <w:t xml:space="preserve">has</w:t>
      </w:r>
      <w:r>
        <w:rPr/>
        <w:t xml:space="preser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w:t>
      </w:r>
      <w:r>
        <w:t>((</w:t>
      </w:r>
      <w:r>
        <w:rPr>
          <w:strike/>
        </w:rPr>
        <w:t xml:space="preserve">shall be</w:t>
      </w:r>
      <w:r>
        <w:t>))</w:t>
      </w:r>
      <w:r>
        <w:rPr/>
        <w:t xml:space="preserve"> </w:t>
      </w:r>
      <w:r>
        <w:rPr>
          <w:u w:val="single"/>
        </w:rPr>
        <w:t xml:space="preserve">is</w:t>
      </w:r>
      <w:r>
        <w:rPr/>
        <w:t xml:space="preserve"> liable for and </w:t>
      </w:r>
      <w:r>
        <w:t>((</w:t>
      </w:r>
      <w:r>
        <w:rPr>
          <w:strike/>
        </w:rPr>
        <w:t xml:space="preserve">shall</w:t>
      </w:r>
      <w:r>
        <w:t>))</w:t>
      </w:r>
      <w:r>
        <w:rPr/>
        <w:t xml:space="preserve"> </w:t>
      </w:r>
      <w:r>
        <w:rPr>
          <w:u w:val="single"/>
        </w:rPr>
        <w:t xml:space="preserve">must</w:t>
      </w:r>
      <w:r>
        <w:rPr/>
        <w:t xml:space="preserve">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w:t>
      </w:r>
      <w:r>
        <w:rPr>
          <w:u w:val="single"/>
        </w:rPr>
        <w:t xml:space="preserve">and (c)</w:t>
      </w:r>
      <w:r>
        <w:rPr/>
        <w:t xml:space="preserve"> of this subsection, moneys collected under this section are deposited in the general fund.</w:t>
      </w:r>
    </w:p>
    <w:p>
      <w:pPr>
        <w:spacing w:before="0" w:after="0" w:line="408" w:lineRule="exact"/>
        <w:ind w:left="0" w:right="0" w:firstLine="576"/>
        <w:jc w:val="left"/>
      </w:pPr>
      <w:r>
        <w:rPr/>
        <w:t xml:space="preserve">(b) Beginning January 1, 2014, moneys collected from taxpayers for premiums written on qualified health benefit plans and stand-alone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u w:val="single"/>
        </w:rPr>
        <w:t xml:space="preserve">(c) Beginning January 1, 2016, moneys collected for premiums written on stand-alone dental plans for pediatric oral services that qualify as coverage for the minimum essential coverage under P.L. 111-148 (2010), as amended,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or</w:t>
      </w:r>
    </w:p>
    <w:p>
      <w:pPr>
        <w:spacing w:before="0" w:after="0" w:line="408" w:lineRule="exact"/>
        <w:ind w:left="0" w:right="0" w:firstLine="576"/>
        <w:jc w:val="left"/>
      </w:pPr>
      <w:r>
        <w:rPr/>
        <w:t xml:space="preserve">(ii)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(1)(a) Beginning January 1, 2016, the exchange may require each issuer writing premiums for stand-alone adult and family dental plans offered through the exchange to pay a service charge in an amount necessary to fund the stand-alone adult and family dental operations of the exchange. The service charge may be required only if the expected amount of taxes collected under section 4 of this act and other funds deposited in the health benefit exchange account in the current calendar year are insufficient to fund the stand-alone adult and family dental operational costs incurred beginning January 1, 2016.</w:t>
      </w:r>
    </w:p>
    <w:p>
      <w:pPr>
        <w:spacing w:before="0" w:after="0" w:line="408" w:lineRule="exact"/>
        <w:ind w:left="0" w:right="0" w:firstLine="576"/>
        <w:jc w:val="left"/>
      </w:pPr>
      <w:r>
        <w:rPr/>
        <w:t xml:space="preserve">(b) The service charge is not an exchange user fee as that term is used in 45 C.F.R. 156.80.</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service charge amount. The process must meet the following requirements:</w:t>
      </w:r>
    </w:p>
    <w:p>
      <w:pPr>
        <w:spacing w:before="0" w:after="0" w:line="408" w:lineRule="exact"/>
        <w:ind w:left="0" w:right="0" w:firstLine="576"/>
        <w:jc w:val="left"/>
      </w:pPr>
      <w:r>
        <w:rPr/>
        <w:t xml:space="preserve">(a) The service charge only applies to issuers that offer stand-alone adult and family dental coverage in the exchange and must be based on the number of enrollees in stand-alone adult and family dental plans in the exchange for a calendar year;</w:t>
      </w:r>
    </w:p>
    <w:p>
      <w:pPr>
        <w:spacing w:before="0" w:after="0" w:line="408" w:lineRule="exact"/>
        <w:ind w:left="0" w:right="0" w:firstLine="576"/>
        <w:jc w:val="left"/>
      </w:pPr>
      <w:r>
        <w:rPr/>
        <w:t xml:space="preserve">(b) The service charge must be established on a flat dollar and cents amount per member per month;</w:t>
      </w:r>
    </w:p>
    <w:p>
      <w:pPr>
        <w:spacing w:before="0" w:after="0" w:line="408" w:lineRule="exact"/>
        <w:ind w:left="0" w:right="0" w:firstLine="576"/>
        <w:jc w:val="left"/>
      </w:pPr>
      <w:r>
        <w:rPr/>
        <w:t xml:space="preserve">(c) Issuers must be notified of the service charge amount by the exchange on a timely basis;</w:t>
      </w:r>
    </w:p>
    <w:p>
      <w:pPr>
        <w:spacing w:before="0" w:after="0" w:line="408" w:lineRule="exact"/>
        <w:ind w:left="0" w:right="0" w:firstLine="576"/>
        <w:jc w:val="left"/>
      </w:pPr>
      <w:r>
        <w:rPr/>
        <w:t xml:space="preserve">(d) An appropriate service charge reconciliation process must be established by the exchange that is administratively efficient;</w:t>
      </w:r>
    </w:p>
    <w:p>
      <w:pPr>
        <w:spacing w:before="0" w:after="0" w:line="408" w:lineRule="exact"/>
        <w:ind w:left="0" w:right="0" w:firstLine="576"/>
        <w:jc w:val="left"/>
      </w:pPr>
      <w:r>
        <w:rPr/>
        <w:t xml:space="preserve">(e) Issuers must remit the service charge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the service charge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service charge amount to the exchange within ten business days of the quarterly installment due date.</w:t>
      </w:r>
    </w:p>
    <w:p>
      <w:pPr>
        <w:spacing w:before="0" w:after="0" w:line="408" w:lineRule="exact"/>
        <w:ind w:left="0" w:right="0" w:firstLine="576"/>
        <w:jc w:val="left"/>
      </w:pPr>
      <w:r>
        <w:rPr/>
        <w:t xml:space="preserve">(3) The exchange must deposit proceeds from the service charges in the health benefit exchange account under RCW 43.71.060.</w:t>
      </w:r>
    </w:p>
    <w:p>
      <w:pPr>
        <w:spacing w:before="0" w:after="0" w:line="408" w:lineRule="exact"/>
        <w:ind w:left="0" w:right="0" w:firstLine="576"/>
        <w:jc w:val="left"/>
      </w:pPr>
      <w:r>
        <w:rPr/>
        <w:t xml:space="preserve">(4) The service charge described in this section is considered a special purpose obligation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(5) The exchange must monitor stand-alone adult and family dental plan enrollment and provide reports at least annually which must be available on its web site.</w:t>
      </w:r>
    </w:p>
    <w:p>
      <w:pPr>
        <w:spacing w:before="0" w:after="0" w:line="408" w:lineRule="exact"/>
        <w:ind w:left="0" w:right="0" w:firstLine="576"/>
        <w:jc w:val="left"/>
      </w:pPr>
      <w:r>
        <w:rPr/>
        <w:t xml:space="preserve">(6) For the purposes of this section, "stand-alone adult and family dental plans" means coverage for a set of benefits limited to oral care excluding pediatric oral services that qualify as coverage for the minimum essential coverage under P.L. 111-148 (2010),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providing stand-alone adult and family dental plans offered through the health benefit exchange under chapter 43.71 RCW; as to such persons the amount of tax is equal to the gross income from such adult and family dental plans multiplied by the rate of 1.5 percent.</w:t>
      </w:r>
    </w:p>
    <w:p>
      <w:pPr>
        <w:spacing w:before="0" w:after="0" w:line="408" w:lineRule="exact"/>
        <w:ind w:left="0" w:right="0" w:firstLine="576"/>
        <w:jc w:val="left"/>
      </w:pPr>
      <w:r>
        <w:rPr/>
        <w:t xml:space="preserve">(2) The money collected under subsection (1) of this section must be deposited in the health benefit exchange account under RCW 43.71.060.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"Gross income from such adult and family dental plans" does not include premiums received for pediatric oral services that qualify as coverage for the minimum essential coverage under P.L. 111-148 (2010), as amended.</w:t>
      </w:r>
    </w:p>
    <w:p>
      <w:pPr>
        <w:spacing w:before="0" w:after="0" w:line="408" w:lineRule="exact"/>
        <w:ind w:left="0" w:right="0" w:firstLine="576"/>
        <w:jc w:val="left"/>
      </w:pPr>
      <w:r>
        <w:rPr/>
        <w:t xml:space="preserve">(b) "Stand-alone adult and family dental plans" means coverage for a set of benefits limited to oral care which may or may not include pediatric oral services that qualify as coverage for the minimum essential coverage under P.L. 111-148 (2010), as amended.</w:t>
      </w:r>
    </w:p>
    <w:p/>
    <w:p>
      <w:pPr>
        <w:jc w:val="center"/>
      </w:pPr>
      <w:r>
        <w:rPr>
          <w:b/>
        </w:rPr>
        <w:t>--- END ---</w:t>
      </w:r>
    </w:p>
    <w:sectPr>
      <w:pgNumType w:start="1"/>
      <w:footerReference xmlns:r="http://schemas.openxmlformats.org/officeDocument/2006/relationships" r:id="R86598eb64e2e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3289e23c24df1" /><Relationship Type="http://schemas.openxmlformats.org/officeDocument/2006/relationships/footer" Target="/word/footer.xml" Id="R86598eb64e2e4401" /></Relationships>
</file>