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04ef28215945cd" /></Relationships>
</file>

<file path=word/document.xml><?xml version="1.0" encoding="utf-8"?>
<w:document xmlns:w="http://schemas.openxmlformats.org/wordprocessingml/2006/main">
  <w:body>
    <w:p>
      <w:r>
        <w:t>H-0546.4</w:t>
      </w:r>
    </w:p>
    <w:p>
      <w:pPr>
        <w:jc w:val="center"/>
      </w:pPr>
      <w:r>
        <w:t>_______________________________________________</w:t>
      </w:r>
    </w:p>
    <w:p/>
    <w:p>
      <w:pPr>
        <w:jc w:val="center"/>
      </w:pPr>
      <w:r>
        <w:rPr>
          <w:b/>
        </w:rPr>
        <w:t>HOUSE BILL 2112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and Walkinshaw</w:t>
      </w:r>
    </w:p>
    <w:p/>
    <w:p>
      <w:r>
        <w:rPr>
          <w:t xml:space="preserve">Read first time 02/13/15.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annexation of islands of unincorporated territory in areas subject to boundary review; amending RCW 36.93.180 and 36.70A.110;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unincorporated urban areas that are either completely surrounded by cities or by cities and Puget Sound, or by cities and a lake, should be annexed by a surrounding municipality. The growth management act dictates that urban services should be provided by municipalities, but past strategic annexations of areas that have large sales tax receipts have thwarted this intent, leaving behind those residential and sales tax poor areas to the county. Residential areas are generally left behind because they sometimes require more financial resources than their tax base provides.</w:t>
      </w:r>
    </w:p>
    <w:p>
      <w:pPr>
        <w:spacing w:before="0" w:after="0" w:line="408" w:lineRule="exact"/>
        <w:ind w:left="0" w:right="0" w:firstLine="576"/>
        <w:jc w:val="left"/>
      </w:pPr>
      <w:r>
        <w:rPr/>
        <w:t xml:space="preserve">These islands of unincorporated urban areas necessitate inefficient use of scarce public resources. For example, deputy sheriffs are forced to drive long distances to service these scattered areas, endangering residents with protracted response times. Further, these areas lack urban amenities like sidewalks, parks, and complete streets. Residents of unincorporated urban islands do not receive the level of service that their neighbors across the city boundary enjoy. </w:t>
      </w:r>
    </w:p>
    <w:p>
      <w:pPr>
        <w:spacing w:before="0" w:after="0" w:line="408" w:lineRule="exact"/>
        <w:ind w:left="0" w:right="0" w:firstLine="576"/>
        <w:jc w:val="left"/>
      </w:pPr>
      <w:r>
        <w:rPr/>
        <w:t xml:space="preserve">In order to provide improved efficiency in the delivery of governmental services, provide urban residents a uniform level of governmental service, and to realize the principles of the growth management act, the legislature finds that it must allow communities the opportunity to determine how best to bring these urban pockets into the appropriate municipality, but set a deadline so that certainty, rational planning, and the efficient provision of urban services can be realized.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180</w:t>
      </w:r>
      <w:r>
        <w:rPr/>
        <w:t xml:space="preserve"> and 1989 c 84 s 6 are each amended to read as follows:</w:t>
      </w:r>
    </w:p>
    <w:p>
      <w:pPr>
        <w:spacing w:before="0" w:after="0" w:line="408" w:lineRule="exact"/>
        <w:ind w:left="0" w:right="0" w:firstLine="576"/>
        <w:jc w:val="left"/>
      </w:pPr>
      <w:r>
        <w:rPr/>
        <w:t xml:space="preserve">The decisions of the boundary review board shall attempt to achieve the following objectives:</w:t>
      </w:r>
    </w:p>
    <w:p>
      <w:pPr>
        <w:spacing w:before="0" w:after="0" w:line="408" w:lineRule="exact"/>
        <w:ind w:left="0" w:right="0" w:firstLine="576"/>
        <w:jc w:val="left"/>
      </w:pPr>
      <w:r>
        <w:rPr/>
        <w:t xml:space="preserve">(1) Preservation of natural neighborhoods and communities;</w:t>
      </w:r>
    </w:p>
    <w:p>
      <w:pPr>
        <w:spacing w:before="0" w:after="0" w:line="408" w:lineRule="exact"/>
        <w:ind w:left="0" w:right="0" w:firstLine="576"/>
        <w:jc w:val="left"/>
      </w:pPr>
      <w:r>
        <w:rPr/>
        <w:t xml:space="preserve">(2) Use of physical boundaries, including but not limited to bodies of water, highways, and land contours;</w:t>
      </w:r>
    </w:p>
    <w:p>
      <w:pPr>
        <w:spacing w:before="0" w:after="0" w:line="408" w:lineRule="exact"/>
        <w:ind w:left="0" w:right="0" w:firstLine="576"/>
        <w:jc w:val="left"/>
      </w:pPr>
      <w:r>
        <w:rPr/>
        <w:t xml:space="preserve">(3) Creation and preservation of logical service areas;</w:t>
      </w:r>
    </w:p>
    <w:p>
      <w:pPr>
        <w:spacing w:before="0" w:after="0" w:line="408" w:lineRule="exact"/>
        <w:ind w:left="0" w:right="0" w:firstLine="576"/>
        <w:jc w:val="left"/>
      </w:pPr>
      <w:r>
        <w:rPr/>
        <w:t xml:space="preserve">(4) Prevention of abnormally irregular boundaries;</w:t>
      </w:r>
    </w:p>
    <w:p>
      <w:pPr>
        <w:spacing w:before="0" w:after="0" w:line="408" w:lineRule="exact"/>
        <w:ind w:left="0" w:right="0" w:firstLine="576"/>
        <w:jc w:val="left"/>
      </w:pPr>
      <w:r>
        <w:rPr/>
        <w:t xml:space="preserve">(5) Discouragement of multiple incorporations of small cities and encouragement of incorporation of cities in excess of ten thousand population in heavily populated urban areas;</w:t>
      </w:r>
    </w:p>
    <w:p>
      <w:pPr>
        <w:spacing w:before="0" w:after="0" w:line="408" w:lineRule="exact"/>
        <w:ind w:left="0" w:right="0" w:firstLine="576"/>
        <w:jc w:val="left"/>
      </w:pPr>
      <w:r>
        <w:rPr/>
        <w:t xml:space="preserve">(6) Dissolution of inactive special purpose districts;</w:t>
      </w:r>
    </w:p>
    <w:p>
      <w:pPr>
        <w:spacing w:before="0" w:after="0" w:line="408" w:lineRule="exact"/>
        <w:ind w:left="0" w:right="0" w:firstLine="576"/>
        <w:jc w:val="left"/>
      </w:pPr>
      <w:r>
        <w:rPr/>
        <w:t xml:space="preserve">(7) Adjustment of impractical boundaries;</w:t>
      </w:r>
    </w:p>
    <w:p>
      <w:pPr>
        <w:spacing w:before="0" w:after="0" w:line="408" w:lineRule="exact"/>
        <w:ind w:left="0" w:right="0" w:firstLine="576"/>
        <w:jc w:val="left"/>
      </w:pPr>
      <w:r>
        <w:rPr/>
        <w:t xml:space="preserve">(8) Incorporation as cities or towns or annexation to cities or towns of unincorporated areas which are urban in character; </w:t>
      </w:r>
      <w:r>
        <w:t>((</w:t>
      </w:r>
      <w:r>
        <w:rPr>
          <w:strike/>
        </w:rPr>
        <w:t xml:space="preserve">and</w:t>
      </w:r>
      <w:r>
        <w:t>))</w:t>
      </w:r>
    </w:p>
    <w:p>
      <w:pPr>
        <w:spacing w:before="0" w:after="0" w:line="408" w:lineRule="exact"/>
        <w:ind w:left="0" w:right="0" w:firstLine="576"/>
        <w:jc w:val="left"/>
      </w:pPr>
      <w:r>
        <w:rPr/>
        <w:t xml:space="preserve">(9) Protection of agricultural and rural lands which are designated for long term productive agricultural and resource use by a comprehensive plan adopted by the county legislative authority</w:t>
      </w:r>
      <w:r>
        <w:rPr>
          <w:u w:val="single"/>
        </w:rPr>
        <w:t xml:space="preserve">;</w:t>
      </w:r>
    </w:p>
    <w:p>
      <w:pPr>
        <w:spacing w:before="0" w:after="0" w:line="408" w:lineRule="exact"/>
        <w:ind w:left="0" w:right="0" w:firstLine="576"/>
        <w:jc w:val="left"/>
      </w:pPr>
      <w:r>
        <w:rPr>
          <w:u w:val="single"/>
        </w:rPr>
        <w:t xml:space="preserve">(10) Prevention of potential unincorporated urban islands that remain surrounded by city and town boundaries; and</w:t>
      </w:r>
    </w:p>
    <w:p>
      <w:pPr>
        <w:spacing w:before="0" w:after="0" w:line="408" w:lineRule="exact"/>
        <w:ind w:left="0" w:right="0" w:firstLine="576"/>
        <w:jc w:val="left"/>
      </w:pPr>
      <w:r>
        <w:rPr>
          <w:u w:val="single"/>
        </w:rPr>
        <w:t xml:space="preserve">(11) Implementation of locally adopted goals, policies, and objectives pertaining to annexation of unincorporated urban growth areas, potential annexation areas, and urban service areas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u w:val="single"/>
        </w:rPr>
        <w:t xml:space="preserve">(a) Cities and towns in which a specific potential annexation area or areas have been designated shall work with the respective county to adopt a joint planning agreement that identifies a public outreach plan, a transition strategy, and time frame to annex such territory.</w:t>
      </w:r>
    </w:p>
    <w:p>
      <w:pPr>
        <w:spacing w:before="0" w:after="0" w:line="408" w:lineRule="exact"/>
        <w:ind w:left="0" w:right="0" w:firstLine="576"/>
        <w:jc w:val="left"/>
      </w:pPr>
      <w:r>
        <w:rPr>
          <w:u w:val="single"/>
        </w:rPr>
        <w:t xml:space="preserve">(b) Potential annexation areas completely surrounded by one or more cities or towns, or one or more cities or towns and Puget Sound, or one or more cities or towns and a lake shall be annexed into the respective jurisdictions within ten years of the effective date of this section. In the event that the potential annexation area is surrounded by more than one city or town and the efforts to develop a joint planning agreement for annexation of the unincorporated urban island by one of the surrounding cities or towns, as detailed in (a) of this subsection, does not result in a determination of which city or town shall annex the area, the county shall assign the annexation area to the city or town from which urban services can most efficiently be delivered.</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
      <w:pPr>
        <w:jc w:val="center"/>
      </w:pPr>
      <w:r>
        <w:rPr>
          <w:b/>
        </w:rPr>
        <w:t>--- END ---</w:t>
      </w:r>
    </w:p>
    <w:sectPr>
      <w:pgNumType w:start="1"/>
      <w:footerReference xmlns:r="http://schemas.openxmlformats.org/officeDocument/2006/relationships" r:id="R0b03752f852945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961bd5967469c" /><Relationship Type="http://schemas.openxmlformats.org/officeDocument/2006/relationships/footer" Target="/word/footer.xml" Id="R0b03752f85294501" /></Relationships>
</file>