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f7902149fa47d5" /></Relationships>
</file>

<file path=word/document.xml><?xml version="1.0" encoding="utf-8"?>
<w:document xmlns:w="http://schemas.openxmlformats.org/wordprocessingml/2006/main">
  <w:body>
    <w:p>
      <w:r>
        <w:t>H-1788.1</w:t>
      </w:r>
    </w:p>
    <w:p>
      <w:pPr>
        <w:jc w:val="center"/>
      </w:pPr>
      <w:r>
        <w:t>_______________________________________________</w:t>
      </w:r>
    </w:p>
    <w:p/>
    <w:p>
      <w:pPr>
        <w:jc w:val="center"/>
      </w:pPr>
      <w:r>
        <w:rPr>
          <w:b/>
        </w:rPr>
        <w:t>HOUSE BILL 2140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Orwall, Johnson, Walsh, Sells, Clibborn, Tarleton, Appleton, Ortiz-Self, Hargrove, Zeiger, Senn, Ormsby, Kilduff, Walkinshaw, and Goodman</w:t>
      </w:r>
    </w:p>
    <w:p/>
    <w:p>
      <w:r>
        <w:rPr>
          <w:t xml:space="preserve">Read first time 02/17/15.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good cause exceptions during permanency hearings; reenacting and amending RCW 13.34.145; providing and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2013 c 332 s 3, 2013 c 206 s 1, and 2013 c 173 s 3 are each reenacted and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twelve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twelve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fifteen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ten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seventeen years but not older than seventeen years and six months, the department shall provide the youth with written documentation which explains the availability of extended foster care services and detailed instructions regarding how the youth may access such services after he or she reaches age eighteen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or supervising agency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or supervising agency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fifteen of the most recent twenty-two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or supervising agency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(5) Following this inquiry, at the permanency planning hearing, the court shall order the department or supervising agency to file a petition seeking termination of parental rights if the child has been in out-of-home care for fifteen of the last twenty-two months since the date the dependency petition was filed unless the court makes a good cause exception as to why the filing of a termination of parental rights petition is not appropriate. Any good cause finding shall be reviewed at all subsequent hearings pertaining to the child.</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 </w:t>
      </w:r>
      <w:r>
        <w:t>((</w:t>
      </w:r>
      <w:r>
        <w:rPr>
          <w:strike/>
        </w:rPr>
        <w:t xml:space="preserve">or</w:t>
      </w:r>
      <w:r>
        <w:t>))</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fifteen of the last twenty-two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t>
      </w:r>
      <w:r>
        <w:t>((</w:t>
      </w:r>
      <w:r>
        <w:rPr>
          <w:strike/>
        </w:rPr>
        <w:t xml:space="preserve">Until June 30, 2015,</w:t>
      </w:r>
      <w:r>
        <w:t>))</w:t>
      </w:r>
      <w:r>
        <w:rPr/>
        <w:t xml:space="preserve"> </w:t>
      </w:r>
      <w:r>
        <w:rPr>
          <w:u w:val="single"/>
        </w:rPr>
        <w:t xml:space="preserve">W</w:t>
      </w:r>
      <w:r>
        <w:rPr/>
        <w:t xml:space="preserve">here a parent has been accepted into a dependency treatment court program or long-term substance abuse or dual diagnoses treatment program and is demonstrating compliance with treatment goals; or</w:t>
      </w:r>
    </w:p>
    <w:p>
      <w:pPr>
        <w:spacing w:before="0" w:after="0" w:line="408" w:lineRule="exact"/>
        <w:ind w:left="0" w:right="0" w:firstLine="576"/>
        <w:jc w:val="left"/>
      </w:pPr>
      <w:r>
        <w:rPr/>
        <w:t xml:space="preserve">(vi) </w:t>
      </w:r>
      <w:r>
        <w:t>((</w:t>
      </w:r>
      <w:r>
        <w:rPr>
          <w:strike/>
        </w:rPr>
        <w:t xml:space="preserve">Until June 30, 2015,</w:t>
      </w:r>
      <w:r>
        <w:t>))</w:t>
      </w:r>
      <w:r>
        <w:rPr/>
        <w:t xml:space="preserve"> </w:t>
      </w:r>
      <w:r>
        <w:rPr>
          <w:u w:val="single"/>
        </w:rPr>
        <w:t xml:space="preserve">W</w:t>
      </w:r>
      <w:r>
        <w:rPr/>
        <w:t xml:space="preserve">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supervising agency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 or the supervising agency;</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w:t>
      </w:r>
      <w:r>
        <w:t>((</w:t>
      </w:r>
      <w:r>
        <w:rPr>
          <w:strike/>
        </w:rPr>
        <w:t xml:space="preserve">(g)</w:t>
      </w:r>
      <w:r>
        <w:t>))</w:t>
      </w:r>
      <w:r>
        <w:rPr/>
        <w:t xml:space="preserve"> </w:t>
      </w:r>
      <w:r>
        <w:rPr>
          <w:u w:val="single"/>
        </w:rPr>
        <w:t xml:space="preserve">(h)</w:t>
      </w:r>
      <w:r>
        <w:rPr/>
        <w:t xml:space="preserve">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or supervising agency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If the department or supervising agency is recommending a placement other than the child's current placement with a foster parent, relative, or other suitable person, enter a finding as to the reasons for the recommendation for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supervising agency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twelve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or supervising agency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or supervising agency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supervising agency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NumType w:start="1"/>
      <w:footerReference xmlns:r="http://schemas.openxmlformats.org/officeDocument/2006/relationships" r:id="R919bd3a128424a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596fcb1a34f9d" /><Relationship Type="http://schemas.openxmlformats.org/officeDocument/2006/relationships/footer" Target="/word/footer.xml" Id="R919bd3a128424a69" /></Relationships>
</file>