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00ad28661243c8" /></Relationships>
</file>

<file path=word/document.xml><?xml version="1.0" encoding="utf-8"?>
<w:document xmlns:w="http://schemas.openxmlformats.org/wordprocessingml/2006/main">
  <w:body>
    <w:p>
      <w:r>
        <w:t>H-1724.1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2169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2015 Regular Session</w:t>
      </w:r>
    </w:p>
    <w:p/>
    <w:p>
      <w:r>
        <w:rPr>
          <w:b/>
        </w:rPr>
        <w:t xml:space="preserve">By </w:t>
      </w:r>
      <w:r>
        <w:t>Representative Hunter</w:t>
      </w:r>
    </w:p>
    <w:p/>
    <w:p/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fiscal matters.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This act may be known and cited as the fiscal matters act.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05faf3f8b9a0429c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2169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d0a5478233432d" /><Relationship Type="http://schemas.openxmlformats.org/officeDocument/2006/relationships/footer" Target="/word/footer.xml" Id="R05faf3f8b9a0429c" /></Relationships>
</file>